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65" w:rsidRPr="00EC11F4" w:rsidRDefault="00AB4365" w:rsidP="00AB4365">
      <w:pPr>
        <w:pStyle w:val="Footer"/>
        <w:tabs>
          <w:tab w:val="clear" w:pos="4320"/>
          <w:tab w:val="clear" w:pos="8640"/>
          <w:tab w:val="right" w:pos="9706"/>
        </w:tabs>
        <w:rPr>
          <w:sz w:val="22"/>
        </w:rPr>
      </w:pPr>
      <w:bookmarkStart w:id="0" w:name="_Toc256000017"/>
      <w:r w:rsidRPr="00EC11F4">
        <w:rPr>
          <w:sz w:val="22"/>
        </w:rPr>
        <w:t>JET PROPULSION LABORATORY</w:t>
      </w:r>
      <w:r w:rsidRPr="00EC11F4">
        <w:rPr>
          <w:sz w:val="22"/>
        </w:rPr>
        <w:tab/>
        <w:t>INTEROFFICE MEMORANDUM</w:t>
      </w:r>
    </w:p>
    <w:p w:rsidR="009041F1" w:rsidRDefault="009041F1" w:rsidP="009041F1">
      <w:pPr>
        <w:pStyle w:val="Footer"/>
        <w:tabs>
          <w:tab w:val="clear" w:pos="4320"/>
          <w:tab w:val="clear" w:pos="8640"/>
          <w:tab w:val="right" w:pos="9360"/>
        </w:tabs>
        <w:rPr>
          <w:sz w:val="20"/>
        </w:rPr>
      </w:pPr>
      <w:r>
        <w:rPr>
          <w:sz w:val="22"/>
        </w:rPr>
        <w:tab/>
      </w:r>
      <w:r w:rsidRPr="00EC11F4">
        <w:rPr>
          <w:sz w:val="22"/>
        </w:rPr>
        <w:t>AIRS ADF#</w:t>
      </w:r>
      <w:r w:rsidR="00263652">
        <w:rPr>
          <w:sz w:val="22"/>
        </w:rPr>
        <w:t>949</w:t>
      </w:r>
      <w:bookmarkStart w:id="1" w:name="_GoBack"/>
      <w:bookmarkEnd w:id="1"/>
    </w:p>
    <w:p w:rsidR="00AB4365" w:rsidRPr="00EC11F4" w:rsidRDefault="009041F1" w:rsidP="009041F1">
      <w:pPr>
        <w:pStyle w:val="Footer"/>
        <w:tabs>
          <w:tab w:val="clear" w:pos="4320"/>
          <w:tab w:val="clear" w:pos="8640"/>
          <w:tab w:val="right" w:pos="9360"/>
        </w:tabs>
        <w:rPr>
          <w:sz w:val="20"/>
        </w:rPr>
      </w:pPr>
      <w:r>
        <w:rPr>
          <w:sz w:val="20"/>
        </w:rPr>
        <w:tab/>
      </w:r>
      <w:r w:rsidR="00AB4365">
        <w:rPr>
          <w:sz w:val="20"/>
        </w:rPr>
        <w:t xml:space="preserve">January </w:t>
      </w:r>
      <w:r w:rsidR="00730BA9">
        <w:rPr>
          <w:sz w:val="20"/>
        </w:rPr>
        <w:t>28</w:t>
      </w:r>
      <w:r w:rsidR="00AB4365">
        <w:rPr>
          <w:sz w:val="20"/>
        </w:rPr>
        <w:t>, 2019</w:t>
      </w:r>
    </w:p>
    <w:p w:rsidR="00AB4365" w:rsidRPr="00EC11F4" w:rsidRDefault="00AB4365" w:rsidP="00AB4365">
      <w:pPr>
        <w:pStyle w:val="SPIEbodytext"/>
      </w:pPr>
      <w:r w:rsidRPr="00EC11F4">
        <w:t>To:</w:t>
      </w:r>
      <w:r w:rsidRPr="00EC11F4">
        <w:tab/>
      </w:r>
      <w:r>
        <w:t>Tim Hewison (EUMETSAT)</w:t>
      </w:r>
    </w:p>
    <w:p w:rsidR="00AB4365" w:rsidRPr="00EC11F4" w:rsidRDefault="00AB4365" w:rsidP="00AB4365">
      <w:pPr>
        <w:pStyle w:val="SPIEbodytext"/>
      </w:pPr>
      <w:r w:rsidRPr="00EC11F4">
        <w:t>From:</w:t>
      </w:r>
      <w:r w:rsidRPr="00EC11F4">
        <w:tab/>
      </w:r>
      <w:r>
        <w:t>T. Pagano</w:t>
      </w:r>
    </w:p>
    <w:p w:rsidR="00AB4365" w:rsidRDefault="00AB4365" w:rsidP="00AB4365">
      <w:pPr>
        <w:pStyle w:val="SPIEbodytext"/>
      </w:pPr>
      <w:r w:rsidRPr="00EC11F4">
        <w:t>CC:</w:t>
      </w:r>
      <w:r w:rsidRPr="00EC11F4">
        <w:tab/>
      </w:r>
      <w:r>
        <w:t>S. Broberg, H. Aumann, E. Manning, W. Mathews, C. Wilson, K. Overoye</w:t>
      </w:r>
    </w:p>
    <w:p w:rsidR="00AB4365" w:rsidRDefault="00AB4365" w:rsidP="00AB4365">
      <w:pPr>
        <w:pStyle w:val="SPIEbodytext"/>
        <w:pBdr>
          <w:bottom w:val="single" w:sz="6" w:space="1" w:color="auto"/>
        </w:pBdr>
      </w:pPr>
      <w:r w:rsidRPr="00EC11F4">
        <w:t>Subject:</w:t>
      </w:r>
      <w:r w:rsidRPr="00EC11F4">
        <w:tab/>
      </w:r>
      <w:r>
        <w:t>AIRS V5 Radiometric Accuracy Update</w:t>
      </w:r>
    </w:p>
    <w:p w:rsidR="00AB4365" w:rsidRDefault="00AB4365" w:rsidP="00AB4365">
      <w:pPr>
        <w:pStyle w:val="SPIEbodytext"/>
        <w:pBdr>
          <w:bottom w:val="single" w:sz="6" w:space="1" w:color="auto"/>
        </w:pBdr>
      </w:pPr>
    </w:p>
    <w:p w:rsidR="009041F1" w:rsidRDefault="00AB4365" w:rsidP="009041F1">
      <w:pPr>
        <w:spacing w:after="160" w:line="259" w:lineRule="auto"/>
      </w:pPr>
      <w:r>
        <w:t xml:space="preserve">This memo provides input to the </w:t>
      </w:r>
      <w:r w:rsidR="009041F1">
        <w:t xml:space="preserve">Global Space-based InterCalibration System (GSICS) community report titled the </w:t>
      </w:r>
      <w:r w:rsidR="009041F1" w:rsidRPr="009041F1">
        <w:t>IR Reference Uncertainty &amp; Traceability Report</w:t>
      </w:r>
      <w:r w:rsidR="009041F1">
        <w:t>.  The input consists of theoretical basis and current estimates of the radiometric uncertainty of AIRS along with a table in the GSICS community preferred format.</w:t>
      </w:r>
    </w:p>
    <w:p w:rsidR="009F65FC" w:rsidRDefault="009F65FC" w:rsidP="009041F1">
      <w:pPr>
        <w:spacing w:after="160" w:line="259" w:lineRule="auto"/>
      </w:pPr>
      <w:r>
        <w:t>The information can be posted on the GSICS website at</w:t>
      </w:r>
    </w:p>
    <w:p w:rsidR="009F65FC" w:rsidRDefault="0052324E">
      <w:pPr>
        <w:spacing w:after="160" w:line="259" w:lineRule="auto"/>
      </w:pPr>
      <w:hyperlink r:id="rId8" w:history="1">
        <w:r w:rsidR="009F65FC" w:rsidRPr="00B16978">
          <w:rPr>
            <w:rStyle w:val="Hyperlink"/>
          </w:rPr>
          <w:t>http://gsics.atmos.umd.edu/wiki/Home</w:t>
        </w:r>
      </w:hyperlink>
    </w:p>
    <w:p w:rsidR="00AB4365" w:rsidRDefault="0060282B">
      <w:pPr>
        <w:spacing w:after="160" w:line="259" w:lineRule="auto"/>
      </w:pPr>
      <w:r>
        <w:t>Please contact me if you have any questions/revisions.</w:t>
      </w:r>
    </w:p>
    <w:p w:rsidR="00AB4365" w:rsidRDefault="00AB4365">
      <w:pPr>
        <w:spacing w:after="160" w:line="259" w:lineRule="auto"/>
      </w:pPr>
    </w:p>
    <w:p w:rsidR="00AB4365" w:rsidRDefault="00AB4365">
      <w:pPr>
        <w:spacing w:after="160" w:line="259" w:lineRule="auto"/>
      </w:pPr>
    </w:p>
    <w:p w:rsidR="00AB4365" w:rsidRDefault="00AB4365">
      <w:pPr>
        <w:spacing w:after="160" w:line="259" w:lineRule="auto"/>
        <w:rPr>
          <w:b/>
          <w:color w:val="000066"/>
        </w:rPr>
      </w:pPr>
      <w:r>
        <w:br w:type="page"/>
      </w:r>
    </w:p>
    <w:p w:rsidR="00902730" w:rsidRDefault="00902730" w:rsidP="00ED10C3">
      <w:pPr>
        <w:pStyle w:val="Heading3"/>
        <w:numPr>
          <w:ilvl w:val="1"/>
          <w:numId w:val="1"/>
        </w:numPr>
      </w:pPr>
      <w:r>
        <w:lastRenderedPageBreak/>
        <w:t>AIRS</w:t>
      </w:r>
      <w:bookmarkEnd w:id="0"/>
    </w:p>
    <w:p w:rsidR="00902730" w:rsidRDefault="00ED10C3" w:rsidP="00ED10C3">
      <w:r w:rsidRPr="00ED10C3">
        <w:t xml:space="preserve">The Atmospheric Infrared Sounder (AIRS) is a hyperspectral infrared </w:t>
      </w:r>
      <w:r>
        <w:t xml:space="preserve">grating spectrometer </w:t>
      </w:r>
      <w:r w:rsidRPr="00ED10C3">
        <w:t xml:space="preserve">instrument on the EOS Aqua Spacecraft, launched on May 4, 2002.  AIRS has 2378 infrared channels ranging from 3.7 </w:t>
      </w:r>
      <w:r>
        <w:t>μ</w:t>
      </w:r>
      <w:r w:rsidRPr="00ED10C3">
        <w:t xml:space="preserve">m to 15.4 </w:t>
      </w:r>
      <w:r>
        <w:t>μ</w:t>
      </w:r>
      <w:r w:rsidRPr="00ED10C3">
        <w:t xml:space="preserve">m and a 13.5 km footprint.  </w:t>
      </w:r>
      <w:r>
        <w:t>The AIRS instrument</w:t>
      </w:r>
      <w:r w:rsidR="00213313">
        <w:t xml:space="preserve"> </w:t>
      </w:r>
      <w:r w:rsidRPr="00ED10C3">
        <w:t xml:space="preserve">incorporates numerous advances in infrared sensing technology to achieve a high level of measurement sensitivity, precision, and accuracy . This includes a temperature-controlled spectrometer (157K) and long-wavelength cutoff HgCdTe infrared detectors cooled by an active-pulse-tube cryogenic cooler. </w:t>
      </w:r>
      <w:r>
        <w:t xml:space="preserve"> </w:t>
      </w:r>
      <w:r w:rsidRPr="00ED10C3">
        <w:t xml:space="preserve">It is this temperature control that is most likely responsible for the observed stability in the instrument.  The Focal Plane Assembly (FPA) contains 12 modules with 15 individual PV HgCdTe line arrays of detectors in a 2 x N element arrays where N ranges from 94 to 192 for PV HgCdTe, and 2 PC HgCdTe arrays with 1 x 144, 1 x130 elements.  The AIRS acquires 2378 spectral samples at resolutions, </w:t>
      </w:r>
      <w:r w:rsidRPr="00F9053B">
        <w:rPr>
          <w:rFonts w:ascii="Symbol" w:hAnsi="Symbol"/>
        </w:rPr>
        <w:t></w:t>
      </w:r>
      <w:r w:rsidRPr="00F9053B">
        <w:rPr>
          <w:rFonts w:ascii="Symbol" w:hAnsi="Symbol"/>
        </w:rPr>
        <w:t></w:t>
      </w:r>
      <w:r w:rsidRPr="00F9053B">
        <w:rPr>
          <w:rFonts w:ascii="Symbol" w:hAnsi="Symbol"/>
        </w:rPr>
        <w:t></w:t>
      </w:r>
      <w:r w:rsidRPr="00F9053B">
        <w:rPr>
          <w:rFonts w:ascii="Symbol" w:hAnsi="Symbol"/>
        </w:rPr>
        <w:t></w:t>
      </w:r>
      <w:r w:rsidRPr="00ED10C3">
        <w:t>, ranging from 1086 to 1570, in three bands: 3.75 µm to 4.61 µm, 6.20 µm to 8.22 µm, and 8.8 µm to 15.4 µm.</w:t>
      </w:r>
    </w:p>
    <w:p w:rsidR="00213313" w:rsidRDefault="00852909" w:rsidP="00ED10C3">
      <w:r w:rsidRPr="00ED10C3">
        <w:t xml:space="preserve">The radiometric accuracy </w:t>
      </w:r>
      <w:r w:rsidR="00213313">
        <w:t xml:space="preserve">estimate provided here </w:t>
      </w:r>
      <w:r w:rsidRPr="00ED10C3">
        <w:t xml:space="preserve">for AIRS </w:t>
      </w:r>
      <w:r w:rsidR="00213313">
        <w:t>assumes spatially uniform and spectrally flat scenes since spatial and spectral errors are scene dependent.  Further discussion on these error sources is provided below.  The stability of AIRS is much better than the accuracy.  For further information on the radiometric stability, please consult the literature</w:t>
      </w:r>
      <w:r w:rsidR="00213313">
        <w:rPr>
          <w:rStyle w:val="EndnoteReference"/>
        </w:rPr>
        <w:endnoteReference w:id="1"/>
      </w:r>
      <w:r w:rsidR="00213313">
        <w:t>.</w:t>
      </w:r>
    </w:p>
    <w:p w:rsidR="00ED10C3" w:rsidRDefault="00213313" w:rsidP="00ED10C3">
      <w:r>
        <w:t xml:space="preserve">The radiometric accuracy for AIRS </w:t>
      </w:r>
      <w:r w:rsidR="00852909" w:rsidRPr="00ED10C3">
        <w:t>can be determined by combining the error contributions from all the terms in the radiometric transfer equation (conversion of counts to radiance).</w:t>
      </w:r>
      <w:r w:rsidR="00852909">
        <w:t xml:space="preserve">  </w:t>
      </w:r>
      <w:r w:rsidR="00ED10C3" w:rsidRPr="00ED10C3">
        <w:t>The radiometric transfer equations are derived from the design of the AIRS instrument and the measurement approach as discussed in the literature</w:t>
      </w:r>
      <w:r w:rsidR="004E3CB0">
        <w:rPr>
          <w:rStyle w:val="EndnoteReference"/>
        </w:rPr>
        <w:endnoteReference w:id="2"/>
      </w:r>
      <w:r w:rsidR="00ED10C3" w:rsidRPr="00ED10C3">
        <w:t>.  These radiometric transfer equations form the basis of the Level 1B calibration for AIRS.  The scene radiance is computed as a second order polynomial in counts with a term in the denominator due to the mirror polarization.</w:t>
      </w:r>
      <w:r w:rsidR="00ED10C3">
        <w:t xml:space="preserve"> </w:t>
      </w:r>
    </w:p>
    <w:p w:rsidR="00ED10C3" w:rsidRDefault="00ED10C3" w:rsidP="00ED10C3">
      <w:pPr>
        <w:pStyle w:val="Equation"/>
        <w:spacing w:before="120"/>
        <w:rPr>
          <w:rFonts w:eastAsiaTheme="minorEastAsia"/>
        </w:rPr>
      </w:pPr>
      <w:r>
        <w:rPr>
          <w:rFonts w:eastAsiaTheme="minorEastAsia"/>
        </w:rPr>
        <w:tab/>
      </w:r>
      <m:oMath>
        <m:sSub>
          <m:sSubPr>
            <m:ctrlPr>
              <w:rPr>
                <w:rFonts w:ascii="Cambria Math" w:hAnsi="Cambria Math"/>
              </w:rPr>
            </m:ctrlPr>
          </m:sSubPr>
          <m:e>
            <m:r>
              <w:rPr>
                <w:rFonts w:ascii="Cambria Math" w:hAnsi="Cambria Math"/>
              </w:rPr>
              <m:t>L</m:t>
            </m:r>
          </m:e>
          <m:sub>
            <m:r>
              <w:rPr>
                <w:rFonts w:ascii="Cambria Math" w:hAnsi="Cambria Math"/>
              </w:rPr>
              <m:t>ev</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o</m:t>
            </m:r>
          </m:sub>
        </m:sSub>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rPr>
            </m:ctrlPr>
          </m:fPr>
          <m:num>
            <m:sSub>
              <m:sSubPr>
                <m:ctrlPr>
                  <w:rPr>
                    <w:rFonts w:ascii="Cambria Math" w:hAnsi="Cambria Math"/>
                    <w:i/>
                    <w:iCs/>
                  </w:rPr>
                </m:ctrlPr>
              </m:sSubPr>
              <m:e>
                <m:r>
                  <w:rPr>
                    <w:rFonts w:ascii="Cambria Math" w:hAnsi="Cambria Math"/>
                  </w:rPr>
                  <m:t>c</m:t>
                </m:r>
              </m:e>
              <m:sub>
                <m:r>
                  <w:rPr>
                    <w:rFonts w:ascii="Cambria Math" w:hAnsi="Cambria Math"/>
                  </w:rPr>
                  <m:t>1</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dn</m:t>
                    </m:r>
                  </m:e>
                  <m:sub>
                    <m:r>
                      <w:rPr>
                        <w:rFonts w:ascii="Cambria Math" w:hAnsi="Cambria Math"/>
                      </w:rPr>
                      <m:t>ev</m:t>
                    </m:r>
                  </m:sub>
                </m:sSub>
                <m:r>
                  <m:rPr>
                    <m:sty m:val="p"/>
                  </m:rPr>
                  <w:rPr>
                    <w:rFonts w:ascii="Cambria Math" w:hAnsi="Cambria Math"/>
                  </w:rPr>
                  <m:t>-</m:t>
                </m:r>
                <m:sSub>
                  <m:sSubPr>
                    <m:ctrlPr>
                      <w:rPr>
                        <w:rFonts w:ascii="Cambria Math" w:hAnsi="Cambria Math"/>
                      </w:rPr>
                    </m:ctrlPr>
                  </m:sSubPr>
                  <m:e>
                    <m:r>
                      <w:rPr>
                        <w:rFonts w:ascii="Cambria Math" w:hAnsi="Cambria Math"/>
                      </w:rPr>
                      <m:t>dn</m:t>
                    </m:r>
                  </m:e>
                  <m:sub>
                    <m:r>
                      <w:rPr>
                        <w:rFonts w:ascii="Cambria Math" w:hAnsi="Cambria Math"/>
                      </w:rPr>
                      <m:t>sv</m:t>
                    </m:r>
                  </m:sub>
                </m:sSub>
              </m:e>
            </m:d>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dn</m:t>
                        </m:r>
                      </m:e>
                      <m:sub>
                        <m:r>
                          <w:rPr>
                            <w:rFonts w:ascii="Cambria Math" w:hAnsi="Cambria Math"/>
                          </w:rPr>
                          <m:t>ev</m:t>
                        </m:r>
                      </m:sub>
                    </m:sSub>
                    <m:r>
                      <m:rPr>
                        <m:sty m:val="p"/>
                      </m:rPr>
                      <w:rPr>
                        <w:rFonts w:ascii="Cambria Math" w:hAnsi="Cambria Math"/>
                      </w:rPr>
                      <m:t>-</m:t>
                    </m:r>
                    <m:sSub>
                      <m:sSubPr>
                        <m:ctrlPr>
                          <w:rPr>
                            <w:rFonts w:ascii="Cambria Math" w:hAnsi="Cambria Math"/>
                          </w:rPr>
                        </m:ctrlPr>
                      </m:sSubPr>
                      <m:e>
                        <m:r>
                          <w:rPr>
                            <w:rFonts w:ascii="Cambria Math" w:hAnsi="Cambria Math"/>
                          </w:rPr>
                          <m:t>dn</m:t>
                        </m:r>
                      </m:e>
                      <m:sub>
                        <m:r>
                          <w:rPr>
                            <w:rFonts w:ascii="Cambria Math" w:hAnsi="Cambria Math"/>
                          </w:rPr>
                          <m:t>sv</m:t>
                        </m:r>
                      </m:sub>
                    </m:sSub>
                  </m:e>
                </m:d>
              </m:e>
              <m:sup>
                <m:r>
                  <m:rPr>
                    <m:sty m:val="p"/>
                  </m:rPr>
                  <w:rPr>
                    <w:rFonts w:ascii="Cambria Math" w:hAnsi="Cambria Math"/>
                  </w:rPr>
                  <m:t>2</m:t>
                </m:r>
              </m:sup>
            </m:sSup>
          </m:num>
          <m:den>
            <m:d>
              <m:dPr>
                <m:begChr m:val="["/>
                <m:endChr m:val="]"/>
                <m:ctrlPr>
                  <w:rPr>
                    <w:rFonts w:ascii="Cambria Math" w:hAnsi="Cambria Math"/>
                  </w:rPr>
                </m:ctrlPr>
              </m:dPr>
              <m:e>
                <m:r>
                  <m:rPr>
                    <m:sty m:val="p"/>
                  </m:rPr>
                  <w:rPr>
                    <w:rFonts w:ascii="Cambria Math" w:hAnsi="Cambria Math"/>
                  </w:rPr>
                  <m:t>1+</m:t>
                </m:r>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r</m:t>
                    </m:r>
                  </m:sub>
                </m:sSub>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t</m:t>
                    </m:r>
                  </m:sub>
                </m:sSub>
                <m:r>
                  <w:rPr>
                    <w:rFonts w:ascii="Cambria Math" w:hAnsi="Cambria Math"/>
                  </w:rPr>
                  <m:t>cos</m:t>
                </m:r>
                <m:r>
                  <m:rPr>
                    <m:sty m:val="p"/>
                  </m:rPr>
                  <w:rPr>
                    <w:rFonts w:ascii="Cambria Math" w:hAnsi="Cambria Math"/>
                  </w:rPr>
                  <m:t>2</m:t>
                </m:r>
                <m:d>
                  <m:dPr>
                    <m:ctrlPr>
                      <w:rPr>
                        <w:rFonts w:ascii="Cambria Math" w:hAnsi="Cambria Math"/>
                      </w:rPr>
                    </m:ctrlPr>
                  </m:dPr>
                  <m:e>
                    <m:r>
                      <w:rPr>
                        <w:rFonts w:ascii="Cambria Math" w:hAnsi="Cambria Math"/>
                        <w:sz w:val="22"/>
                        <w:szCs w:val="22"/>
                      </w:rPr>
                      <m:t>θ</m:t>
                    </m:r>
                    <m:r>
                      <m:rPr>
                        <m:sty m:val="p"/>
                      </m:rPr>
                      <w:rPr>
                        <w:rFonts w:ascii="Cambria Math" w:hAnsi="Cambria Math"/>
                      </w:rPr>
                      <m:t>-</m:t>
                    </m:r>
                    <m:r>
                      <w:rPr>
                        <w:rFonts w:ascii="Cambria Math" w:hAnsi="Cambria Math"/>
                      </w:rPr>
                      <m:t>δ</m:t>
                    </m:r>
                  </m:e>
                </m:d>
              </m:e>
            </m:d>
          </m:den>
        </m:f>
      </m:oMath>
      <w:r>
        <w:rPr>
          <w:rFonts w:eastAsiaTheme="minorEastAsia"/>
        </w:rPr>
        <w:tab/>
      </w:r>
      <w:r w:rsidRPr="000D62D3">
        <w:rPr>
          <w:rFonts w:eastAsiaTheme="minorEastAsia"/>
        </w:rPr>
        <w:t>(</w:t>
      </w:r>
      <w:r>
        <w:rPr>
          <w:rFonts w:eastAsiaTheme="minorEastAsia"/>
        </w:rPr>
        <w:t>1</w:t>
      </w:r>
      <w:r w:rsidRPr="000D62D3">
        <w:rPr>
          <w:rFonts w:eastAsiaTheme="minorEastAsia"/>
        </w:rPr>
        <w:t>)</w:t>
      </w:r>
    </w:p>
    <w:p w:rsidR="00ED10C3" w:rsidRDefault="00ED10C3" w:rsidP="00ED10C3">
      <w:pPr>
        <w:pStyle w:val="Equation"/>
        <w:spacing w:before="120"/>
        <w:rPr>
          <w:rFonts w:eastAsiaTheme="minorEastAsia"/>
        </w:rPr>
      </w:pPr>
      <w:r>
        <w:rPr>
          <w:rFonts w:eastAsiaTheme="minorEastAsia"/>
        </w:rPr>
        <w:tab/>
      </w:r>
      <m:oMath>
        <m:sSub>
          <m:sSubPr>
            <m:ctrlPr>
              <w:rPr>
                <w:rFonts w:ascii="Cambria Math" w:hAnsi="Cambria Math"/>
              </w:rPr>
            </m:ctrlPr>
          </m:sSubPr>
          <m:e>
            <m:r>
              <w:rPr>
                <w:rFonts w:ascii="Cambria Math" w:hAnsi="Cambria Math"/>
              </w:rPr>
              <m:t>L</m:t>
            </m:r>
          </m:e>
          <m:sub>
            <m:r>
              <m:rPr>
                <m:sty m:val="p"/>
              </m:rPr>
              <w:rPr>
                <w:rFonts w:ascii="Cambria Math" w:hAnsi="Cambria Math"/>
              </w:rPr>
              <m:t>o</m:t>
            </m:r>
          </m:sub>
        </m:sSub>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sm</m:t>
                </m:r>
              </m:sub>
            </m:sSub>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r</m:t>
                </m:r>
              </m:sub>
            </m:sSub>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t</m:t>
                </m:r>
              </m:sub>
            </m:sSub>
            <m:d>
              <m:dPr>
                <m:begChr m:val="["/>
                <m:endChr m:val="]"/>
                <m:ctrlPr>
                  <w:rPr>
                    <w:rFonts w:ascii="Cambria Math" w:hAnsi="Cambria Math"/>
                  </w:rPr>
                </m:ctrlPr>
              </m:dPr>
              <m:e>
                <m:r>
                  <w:rPr>
                    <w:rFonts w:ascii="Cambria Math" w:hAnsi="Cambria Math"/>
                  </w:rPr>
                  <m:t>cos</m:t>
                </m:r>
                <m:r>
                  <m:rPr>
                    <m:sty m:val="p"/>
                  </m:rPr>
                  <w:rPr>
                    <w:rFonts w:ascii="Cambria Math" w:hAnsi="Cambria Math"/>
                  </w:rPr>
                  <m:t>2</m:t>
                </m:r>
                <m:d>
                  <m:dPr>
                    <m:ctrlPr>
                      <w:rPr>
                        <w:rFonts w:ascii="Cambria Math" w:hAnsi="Cambria Math"/>
                      </w:rPr>
                    </m:ctrlPr>
                  </m:dPr>
                  <m:e>
                    <m:r>
                      <w:rPr>
                        <w:rFonts w:ascii="Cambria Math" w:hAnsi="Cambria Math"/>
                        <w:sz w:val="22"/>
                        <w:szCs w:val="22"/>
                      </w:rPr>
                      <m:t>θ</m:t>
                    </m:r>
                    <m:r>
                      <m:rPr>
                        <m:sty m:val="p"/>
                      </m:rPr>
                      <w:rPr>
                        <w:rFonts w:ascii="Cambria Math" w:hAnsi="Cambria Math"/>
                      </w:rPr>
                      <m:t>-</m:t>
                    </m:r>
                    <m:r>
                      <w:rPr>
                        <w:rFonts w:ascii="Cambria Math" w:hAnsi="Cambria Math"/>
                      </w:rPr>
                      <m:t>δ</m:t>
                    </m:r>
                  </m:e>
                </m:d>
                <m:r>
                  <m:rPr>
                    <m:sty m:val="p"/>
                  </m:rPr>
                  <w:rPr>
                    <w:rFonts w:ascii="Cambria Math" w:hAnsi="Cambria Math"/>
                  </w:rPr>
                  <m:t>+</m:t>
                </m:r>
                <m:r>
                  <w:rPr>
                    <w:rFonts w:ascii="Cambria Math" w:hAnsi="Cambria Math"/>
                  </w:rPr>
                  <m:t>cos</m:t>
                </m:r>
                <m:r>
                  <m:rPr>
                    <m:sty m:val="p"/>
                  </m:rPr>
                  <w:rPr>
                    <w:rFonts w:ascii="Cambria Math" w:hAnsi="Cambria Math"/>
                  </w:rPr>
                  <m:t>2</m:t>
                </m:r>
                <m:r>
                  <w:rPr>
                    <w:rFonts w:ascii="Cambria Math" w:hAnsi="Cambria Math"/>
                  </w:rPr>
                  <m:t>δ</m:t>
                </m:r>
              </m:e>
            </m:d>
          </m:num>
          <m:den>
            <m:d>
              <m:dPr>
                <m:begChr m:val="["/>
                <m:endChr m:val="]"/>
                <m:ctrlPr>
                  <w:rPr>
                    <w:rFonts w:ascii="Cambria Math" w:hAnsi="Cambria Math"/>
                  </w:rPr>
                </m:ctrlPr>
              </m:dPr>
              <m:e>
                <m:r>
                  <m:rPr>
                    <m:sty m:val="p"/>
                  </m:rPr>
                  <w:rPr>
                    <w:rFonts w:ascii="Cambria Math" w:hAnsi="Cambria Math"/>
                  </w:rPr>
                  <m:t>1+</m:t>
                </m:r>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r</m:t>
                    </m:r>
                  </m:sub>
                </m:sSub>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t</m:t>
                    </m:r>
                  </m:sub>
                </m:sSub>
                <m:r>
                  <w:rPr>
                    <w:rFonts w:ascii="Cambria Math" w:hAnsi="Cambria Math"/>
                  </w:rPr>
                  <m:t>cos</m:t>
                </m:r>
                <m:r>
                  <m:rPr>
                    <m:sty m:val="p"/>
                  </m:rPr>
                  <w:rPr>
                    <w:rFonts w:ascii="Cambria Math" w:hAnsi="Cambria Math"/>
                  </w:rPr>
                  <m:t>2</m:t>
                </m:r>
                <m:d>
                  <m:dPr>
                    <m:ctrlPr>
                      <w:rPr>
                        <w:rFonts w:ascii="Cambria Math" w:hAnsi="Cambria Math"/>
                      </w:rPr>
                    </m:ctrlPr>
                  </m:dPr>
                  <m:e>
                    <m:r>
                      <w:rPr>
                        <w:rFonts w:ascii="Cambria Math" w:hAnsi="Cambria Math"/>
                        <w:sz w:val="22"/>
                        <w:szCs w:val="22"/>
                      </w:rPr>
                      <m:t>θ</m:t>
                    </m:r>
                    <m:r>
                      <m:rPr>
                        <m:sty m:val="p"/>
                      </m:rPr>
                      <w:rPr>
                        <w:rFonts w:ascii="Cambria Math" w:hAnsi="Cambria Math"/>
                      </w:rPr>
                      <m:t>-</m:t>
                    </m:r>
                    <m:r>
                      <w:rPr>
                        <w:rFonts w:ascii="Cambria Math" w:hAnsi="Cambria Math"/>
                      </w:rPr>
                      <m:t>δ</m:t>
                    </m:r>
                  </m:e>
                </m:d>
              </m:e>
            </m:d>
          </m:den>
        </m:f>
      </m:oMath>
      <w:r>
        <w:rPr>
          <w:rFonts w:eastAsiaTheme="minorEastAsia"/>
        </w:rPr>
        <w:tab/>
      </w:r>
      <w:r w:rsidRPr="000D62D3">
        <w:rPr>
          <w:rFonts w:eastAsiaTheme="minorEastAsia"/>
        </w:rPr>
        <w:t>(</w:t>
      </w:r>
      <w:r>
        <w:rPr>
          <w:rFonts w:eastAsiaTheme="minorEastAsia"/>
        </w:rPr>
        <w:t>2</w:t>
      </w:r>
      <w:r w:rsidRPr="000D62D3">
        <w:rPr>
          <w:rFonts w:eastAsiaTheme="minorEastAsia"/>
        </w:rPr>
        <w:t>)</w:t>
      </w:r>
    </w:p>
    <w:p w:rsidR="00ED10C3" w:rsidRDefault="00ED10C3" w:rsidP="00ED10C3">
      <w:pPr>
        <w:pStyle w:val="Equation"/>
        <w:spacing w:before="120"/>
        <w:rPr>
          <w:rFonts w:eastAsiaTheme="minorEastAsia"/>
        </w:rPr>
      </w:pPr>
      <w:r>
        <w:tab/>
      </w:r>
      <m:oMath>
        <m:sSub>
          <m:sSubPr>
            <m:ctrlPr>
              <w:rPr>
                <w:rFonts w:ascii="Cambria Math" w:hAnsi="Cambria Math"/>
                <w:i/>
                <w:iCs/>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iCs/>
              </w:rPr>
            </m:ctrlPr>
          </m:fPr>
          <m:num>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ε</m:t>
                    </m:r>
                  </m:e>
                  <m:sub>
                    <m:r>
                      <w:rPr>
                        <w:rFonts w:ascii="Cambria Math" w:hAnsi="Cambria Math"/>
                      </w:rPr>
                      <m:t>obc</m:t>
                    </m:r>
                  </m:sub>
                </m:sSub>
                <m:sSub>
                  <m:sSubPr>
                    <m:ctrlPr>
                      <w:rPr>
                        <w:rFonts w:ascii="Cambria Math" w:hAnsi="Cambria Math"/>
                        <w:i/>
                        <w:iCs/>
                      </w:rPr>
                    </m:ctrlPr>
                  </m:sSubPr>
                  <m:e>
                    <m:r>
                      <w:rPr>
                        <w:rFonts w:ascii="Cambria Math" w:hAnsi="Cambria Math"/>
                      </w:rPr>
                      <m:t>P</m:t>
                    </m:r>
                  </m:e>
                  <m:sub>
                    <m:r>
                      <w:rPr>
                        <w:rFonts w:ascii="Cambria Math" w:hAnsi="Cambria Math"/>
                      </w:rPr>
                      <m:t>obc</m:t>
                    </m:r>
                  </m:sub>
                </m:sSub>
                <m:r>
                  <w:rPr>
                    <w:rFonts w:ascii="Cambria Math" w:hAnsi="Cambria Math"/>
                  </w:rPr>
                  <m:t>-</m:t>
                </m:r>
                <m:sSub>
                  <m:sSubPr>
                    <m:ctrlPr>
                      <w:rPr>
                        <w:rFonts w:ascii="Cambria Math" w:hAnsi="Cambria Math"/>
                        <w:i/>
                        <w:iCs/>
                      </w:rPr>
                    </m:ctrlPr>
                  </m:sSubPr>
                  <m:e>
                    <m:r>
                      <w:rPr>
                        <w:rFonts w:ascii="Cambria Math" w:hAnsi="Cambria Math"/>
                      </w:rPr>
                      <m:t>L</m:t>
                    </m:r>
                  </m:e>
                  <m:sub>
                    <m:r>
                      <w:rPr>
                        <w:rFonts w:ascii="Cambria Math" w:hAnsi="Cambria Math"/>
                      </w:rPr>
                      <m:t>o</m:t>
                    </m:r>
                  </m:sub>
                </m:sSub>
                <m:d>
                  <m:dPr>
                    <m:ctrlPr>
                      <w:rPr>
                        <w:rFonts w:ascii="Cambria Math" w:hAnsi="Cambria Math"/>
                        <w:i/>
                        <w:iCs/>
                      </w:rPr>
                    </m:ctrlPr>
                  </m:dPr>
                  <m:e>
                    <m:r>
                      <w:rPr>
                        <w:rFonts w:ascii="Cambria Math" w:hAnsi="Cambria Math"/>
                      </w:rPr>
                      <m:t>180°</m:t>
                    </m:r>
                  </m:e>
                </m:d>
              </m:e>
            </m:d>
            <m:d>
              <m:dPr>
                <m:begChr m:val="["/>
                <m:endChr m:val="]"/>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p</m:t>
                    </m:r>
                  </m:e>
                  <m:sub>
                    <m:r>
                      <w:rPr>
                        <w:rFonts w:ascii="Cambria Math" w:hAnsi="Cambria Math"/>
                      </w:rPr>
                      <m:t>r</m:t>
                    </m:r>
                  </m:sub>
                </m:sSub>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cos2δ</m:t>
                </m:r>
              </m:e>
            </m:d>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dn</m:t>
                        </m:r>
                      </m:e>
                      <m:sub>
                        <m:r>
                          <w:rPr>
                            <w:rFonts w:ascii="Cambria Math" w:hAnsi="Cambria Math"/>
                          </w:rPr>
                          <m:t>obc</m:t>
                        </m:r>
                      </m:sub>
                    </m:sSub>
                    <m:r>
                      <w:rPr>
                        <w:rFonts w:ascii="Cambria Math" w:hAnsi="Cambria Math"/>
                      </w:rPr>
                      <m:t>-</m:t>
                    </m:r>
                    <m:sSub>
                      <m:sSubPr>
                        <m:ctrlPr>
                          <w:rPr>
                            <w:rFonts w:ascii="Cambria Math" w:hAnsi="Cambria Math"/>
                          </w:rPr>
                        </m:ctrlPr>
                      </m:sSubPr>
                      <m:e>
                        <m:r>
                          <w:rPr>
                            <w:rFonts w:ascii="Cambria Math" w:hAnsi="Cambria Math"/>
                          </w:rPr>
                          <m:t>dn</m:t>
                        </m:r>
                      </m:e>
                      <m:sub>
                        <m:r>
                          <w:rPr>
                            <w:rFonts w:ascii="Cambria Math" w:hAnsi="Cambria Math"/>
                          </w:rPr>
                          <m:t>sv</m:t>
                        </m:r>
                      </m:sub>
                    </m:sSub>
                  </m:e>
                </m:d>
              </m:e>
              <m:sup>
                <m:r>
                  <m:rPr>
                    <m:sty m:val="p"/>
                  </m:rPr>
                  <w:rPr>
                    <w:rFonts w:ascii="Cambria Math" w:hAnsi="Cambria Math"/>
                  </w:rPr>
                  <m:t>2</m:t>
                </m:r>
              </m:sup>
            </m:sSup>
          </m:num>
          <m:den>
            <m:d>
              <m:dPr>
                <m:ctrlPr>
                  <w:rPr>
                    <w:rFonts w:ascii="Cambria Math" w:hAnsi="Cambria Math"/>
                  </w:rPr>
                </m:ctrlPr>
              </m:dPr>
              <m:e>
                <m:sSub>
                  <m:sSubPr>
                    <m:ctrlPr>
                      <w:rPr>
                        <w:rFonts w:ascii="Cambria Math" w:hAnsi="Cambria Math"/>
                      </w:rPr>
                    </m:ctrlPr>
                  </m:sSubPr>
                  <m:e>
                    <m:r>
                      <w:rPr>
                        <w:rFonts w:ascii="Cambria Math" w:hAnsi="Cambria Math"/>
                      </w:rPr>
                      <m:t>dn</m:t>
                    </m:r>
                  </m:e>
                  <m:sub>
                    <m:r>
                      <w:rPr>
                        <w:rFonts w:ascii="Cambria Math" w:hAnsi="Cambria Math"/>
                      </w:rPr>
                      <m:t>obc</m:t>
                    </m:r>
                  </m:sub>
                </m:sSub>
                <m:r>
                  <w:rPr>
                    <w:rFonts w:ascii="Cambria Math" w:hAnsi="Cambria Math"/>
                  </w:rPr>
                  <m:t>-</m:t>
                </m:r>
                <m:sSub>
                  <m:sSubPr>
                    <m:ctrlPr>
                      <w:rPr>
                        <w:rFonts w:ascii="Cambria Math" w:hAnsi="Cambria Math"/>
                      </w:rPr>
                    </m:ctrlPr>
                  </m:sSubPr>
                  <m:e>
                    <m:r>
                      <w:rPr>
                        <w:rFonts w:ascii="Cambria Math" w:hAnsi="Cambria Math"/>
                      </w:rPr>
                      <m:t>dn</m:t>
                    </m:r>
                  </m:e>
                  <m:sub>
                    <m:r>
                      <w:rPr>
                        <w:rFonts w:ascii="Cambria Math" w:hAnsi="Cambria Math"/>
                      </w:rPr>
                      <m:t>sv</m:t>
                    </m:r>
                  </m:sub>
                </m:sSub>
              </m:e>
            </m:d>
          </m:den>
        </m:f>
      </m:oMath>
      <w:r>
        <w:rPr>
          <w:rFonts w:eastAsiaTheme="minorEastAsia"/>
        </w:rPr>
        <w:tab/>
        <w:t>(3)</w:t>
      </w:r>
    </w:p>
    <w:p w:rsidR="00ED10C3" w:rsidRDefault="00ED10C3" w:rsidP="00ED10C3">
      <w:pPr>
        <w:pStyle w:val="Equation"/>
        <w:spacing w:after="0"/>
        <w:jc w:val="left"/>
        <w:rPr>
          <w:i/>
        </w:rPr>
      </w:pPr>
      <w:r>
        <w:rPr>
          <w:i/>
        </w:rPr>
        <w:t>where</w:t>
      </w:r>
    </w:p>
    <w:p w:rsidR="00ED10C3" w:rsidRDefault="00ED10C3" w:rsidP="00ED10C3">
      <w:pPr>
        <w:pStyle w:val="Equation"/>
        <w:spacing w:after="0"/>
        <w:jc w:val="left"/>
        <w:rPr>
          <w:i/>
        </w:rPr>
      </w:pPr>
      <w:r>
        <w:rPr>
          <w:i/>
        </w:rPr>
        <w:t>L</w:t>
      </w:r>
      <w:r w:rsidRPr="00A52207">
        <w:rPr>
          <w:i/>
          <w:vertAlign w:val="subscript"/>
        </w:rPr>
        <w:t>ev</w:t>
      </w:r>
      <w:r w:rsidRPr="00A52207">
        <w:rPr>
          <w:i/>
        </w:rPr>
        <w:t xml:space="preserve"> = Spectral Radiance in the Earth Viewport (W/m</w:t>
      </w:r>
      <w:r w:rsidRPr="002B7EB9">
        <w:rPr>
          <w:i/>
          <w:vertAlign w:val="superscript"/>
        </w:rPr>
        <w:t>2</w:t>
      </w:r>
      <w:r w:rsidRPr="00A52207">
        <w:rPr>
          <w:i/>
        </w:rPr>
        <w:t>-sr-μm)</w:t>
      </w:r>
      <w:r>
        <w:rPr>
          <w:i/>
        </w:rPr>
        <w:br/>
      </w:r>
      <w:r>
        <w:rPr>
          <w:rFonts w:eastAsiaTheme="minorEastAsia"/>
          <w:i/>
        </w:rPr>
        <w:t>L</w:t>
      </w:r>
      <w:r>
        <w:rPr>
          <w:rFonts w:eastAsiaTheme="minorEastAsia"/>
          <w:i/>
          <w:vertAlign w:val="subscript"/>
        </w:rPr>
        <w:t>o</w:t>
      </w:r>
      <w:r>
        <w:rPr>
          <w:rFonts w:eastAsiaTheme="minorEastAsia"/>
          <w:i/>
        </w:rPr>
        <w:t>(</w:t>
      </w:r>
      <w:r>
        <w:rPr>
          <w:i/>
        </w:rPr>
        <w:t>θ) = Polarized Mirror Emission Offset. (W/m</w:t>
      </w:r>
      <w:r>
        <w:rPr>
          <w:i/>
          <w:vertAlign w:val="superscript"/>
        </w:rPr>
        <w:t>2</w:t>
      </w:r>
      <w:r>
        <w:rPr>
          <w:i/>
        </w:rPr>
        <w:t>-sr-μm)</w:t>
      </w:r>
      <w:r>
        <w:rPr>
          <w:i/>
        </w:rPr>
        <w:br/>
        <w:t>c</w:t>
      </w:r>
      <w:r>
        <w:rPr>
          <w:i/>
          <w:vertAlign w:val="subscript"/>
        </w:rPr>
        <w:t>0</w:t>
      </w:r>
      <w:r>
        <w:rPr>
          <w:i/>
        </w:rPr>
        <w:t xml:space="preserve"> = Instrument offset (W/m</w:t>
      </w:r>
      <w:r>
        <w:rPr>
          <w:i/>
          <w:vertAlign w:val="superscript"/>
        </w:rPr>
        <w:t>2</w:t>
      </w:r>
      <w:r>
        <w:rPr>
          <w:i/>
        </w:rPr>
        <w:t>-sr-</w:t>
      </w:r>
      <w:r w:rsidRPr="00F711AB">
        <w:rPr>
          <w:i/>
        </w:rPr>
        <w:t xml:space="preserve"> </w:t>
      </w:r>
      <w:r>
        <w:rPr>
          <w:i/>
        </w:rPr>
        <w:t>μm)</w:t>
      </w:r>
      <w:r>
        <w:rPr>
          <w:i/>
        </w:rPr>
        <w:br/>
        <w:t>c</w:t>
      </w:r>
      <w:r>
        <w:rPr>
          <w:i/>
          <w:vertAlign w:val="subscript"/>
        </w:rPr>
        <w:t>1</w:t>
      </w:r>
      <w:r>
        <w:rPr>
          <w:i/>
        </w:rPr>
        <w:t xml:space="preserve"> = Instrument gain (W/m</w:t>
      </w:r>
      <w:r>
        <w:rPr>
          <w:i/>
          <w:vertAlign w:val="superscript"/>
        </w:rPr>
        <w:t>2</w:t>
      </w:r>
      <w:r>
        <w:rPr>
          <w:i/>
        </w:rPr>
        <w:t>-sr-</w:t>
      </w:r>
      <w:r w:rsidRPr="00F711AB">
        <w:rPr>
          <w:i/>
        </w:rPr>
        <w:t xml:space="preserve"> </w:t>
      </w:r>
      <w:r>
        <w:rPr>
          <w:i/>
        </w:rPr>
        <w:t>μm-counts)</w:t>
      </w:r>
      <w:r>
        <w:rPr>
          <w:i/>
        </w:rPr>
        <w:br/>
        <w:t>c</w:t>
      </w:r>
      <w:r>
        <w:rPr>
          <w:i/>
          <w:vertAlign w:val="subscript"/>
        </w:rPr>
        <w:t>2</w:t>
      </w:r>
      <w:r>
        <w:rPr>
          <w:i/>
        </w:rPr>
        <w:t xml:space="preserve"> = Instrument nonlinearity (W/m</w:t>
      </w:r>
      <w:r>
        <w:rPr>
          <w:i/>
          <w:vertAlign w:val="superscript"/>
        </w:rPr>
        <w:t>2</w:t>
      </w:r>
      <w:r>
        <w:rPr>
          <w:i/>
        </w:rPr>
        <w:t>-sr-</w:t>
      </w:r>
      <w:r w:rsidRPr="00F711AB">
        <w:rPr>
          <w:i/>
        </w:rPr>
        <w:t xml:space="preserve"> </w:t>
      </w:r>
      <w:r>
        <w:rPr>
          <w:i/>
        </w:rPr>
        <w:t>μm-counts</w:t>
      </w:r>
      <w:r>
        <w:rPr>
          <w:i/>
          <w:vertAlign w:val="superscript"/>
        </w:rPr>
        <w:t>2</w:t>
      </w:r>
      <w:r>
        <w:rPr>
          <w:i/>
        </w:rPr>
        <w:t>)</w:t>
      </w:r>
      <w:r>
        <w:rPr>
          <w:i/>
        </w:rPr>
        <w:br/>
      </w:r>
      <w:r>
        <w:rPr>
          <w:i/>
          <w:szCs w:val="20"/>
        </w:rPr>
        <w:t>dn</w:t>
      </w:r>
      <w:r>
        <w:rPr>
          <w:i/>
          <w:szCs w:val="20"/>
          <w:vertAlign w:val="subscript"/>
        </w:rPr>
        <w:t>ev</w:t>
      </w:r>
      <w:r>
        <w:rPr>
          <w:i/>
          <w:szCs w:val="20"/>
        </w:rPr>
        <w:t xml:space="preserve"> = Digital counts while viewing Earth </w:t>
      </w:r>
      <w:r>
        <w:rPr>
          <w:i/>
        </w:rPr>
        <w:t>for each footprint and scan (counts)</w:t>
      </w:r>
      <w:r>
        <w:rPr>
          <w:i/>
        </w:rPr>
        <w:br/>
      </w:r>
      <w:r>
        <w:rPr>
          <w:i/>
          <w:szCs w:val="20"/>
        </w:rPr>
        <w:t>dn</w:t>
      </w:r>
      <w:r>
        <w:rPr>
          <w:i/>
          <w:szCs w:val="20"/>
          <w:vertAlign w:val="subscript"/>
        </w:rPr>
        <w:t>sv</w:t>
      </w:r>
      <w:r>
        <w:rPr>
          <w:i/>
          <w:szCs w:val="20"/>
        </w:rPr>
        <w:t xml:space="preserve"> = Digital counts </w:t>
      </w:r>
      <w:r>
        <w:rPr>
          <w:i/>
        </w:rPr>
        <w:t>while viewing Space for each scan (counts)</w:t>
      </w:r>
      <w:r>
        <w:rPr>
          <w:i/>
        </w:rPr>
        <w:br/>
        <w:t>p</w:t>
      </w:r>
      <w:r>
        <w:rPr>
          <w:i/>
          <w:vertAlign w:val="subscript"/>
        </w:rPr>
        <w:t>r</w:t>
      </w:r>
      <w:r>
        <w:rPr>
          <w:i/>
        </w:rPr>
        <w:t>p</w:t>
      </w:r>
      <w:r>
        <w:rPr>
          <w:i/>
          <w:vertAlign w:val="subscript"/>
        </w:rPr>
        <w:t>t</w:t>
      </w:r>
      <w:r>
        <w:rPr>
          <w:i/>
        </w:rPr>
        <w:t xml:space="preserve"> =Product of</w:t>
      </w:r>
      <w:r w:rsidRPr="00E42AA7">
        <w:rPr>
          <w:i/>
        </w:rPr>
        <w:t xml:space="preserve"> </w:t>
      </w:r>
      <w:r>
        <w:rPr>
          <w:i/>
        </w:rPr>
        <w:t>scan mirror and spectrometer polarization diattenuation (unitless)</w:t>
      </w:r>
      <w:r>
        <w:rPr>
          <w:i/>
        </w:rPr>
        <w:br/>
        <w:t>θ = Scan Angle measured from nadir (radians)</w:t>
      </w:r>
      <w:r>
        <w:rPr>
          <w:i/>
        </w:rPr>
        <w:br/>
        <w:t>δ = Phase of spectrometer polarization (radians)</w:t>
      </w:r>
      <w:r>
        <w:rPr>
          <w:i/>
        </w:rPr>
        <w:br/>
        <w:t>L</w:t>
      </w:r>
      <w:r>
        <w:rPr>
          <w:i/>
          <w:vertAlign w:val="subscript"/>
        </w:rPr>
        <w:t>sm</w:t>
      </w:r>
      <w:r>
        <w:rPr>
          <w:i/>
        </w:rPr>
        <w:t xml:space="preserve"> = Spectral Radiance of the Scan Mirror for Unity Emissivity at T</w:t>
      </w:r>
      <w:r>
        <w:rPr>
          <w:i/>
          <w:vertAlign w:val="subscript"/>
        </w:rPr>
        <w:t>sm</w:t>
      </w:r>
      <w:r>
        <w:rPr>
          <w:i/>
        </w:rPr>
        <w:t xml:space="preserve"> (W/m</w:t>
      </w:r>
      <w:r>
        <w:rPr>
          <w:i/>
          <w:vertAlign w:val="superscript"/>
        </w:rPr>
        <w:t>2</w:t>
      </w:r>
      <w:r>
        <w:rPr>
          <w:i/>
        </w:rPr>
        <w:t>-sr-μm)</w:t>
      </w:r>
      <w:r>
        <w:rPr>
          <w:i/>
        </w:rPr>
        <w:br/>
        <w:t>ε</w:t>
      </w:r>
      <w:r>
        <w:rPr>
          <w:i/>
          <w:vertAlign w:val="subscript"/>
        </w:rPr>
        <w:t>obc</w:t>
      </w:r>
      <w:r>
        <w:rPr>
          <w:i/>
        </w:rPr>
        <w:t xml:space="preserve"> = Effective Emissivity of the blackbody</w:t>
      </w:r>
      <w:r>
        <w:rPr>
          <w:i/>
        </w:rPr>
        <w:br/>
        <w:t>P</w:t>
      </w:r>
      <w:r>
        <w:rPr>
          <w:i/>
          <w:vertAlign w:val="subscript"/>
        </w:rPr>
        <w:t>obc</w:t>
      </w:r>
      <w:r>
        <w:rPr>
          <w:i/>
        </w:rPr>
        <w:t xml:space="preserve"> = Plank Blackbody function of the OBC blackbody at temperature T</w:t>
      </w:r>
      <w:r>
        <w:rPr>
          <w:i/>
          <w:vertAlign w:val="subscript"/>
        </w:rPr>
        <w:t xml:space="preserve">obc </w:t>
      </w:r>
      <w:r>
        <w:rPr>
          <w:i/>
        </w:rPr>
        <w:t xml:space="preserve"> (W/m</w:t>
      </w:r>
      <w:r>
        <w:rPr>
          <w:i/>
          <w:vertAlign w:val="superscript"/>
        </w:rPr>
        <w:t>2</w:t>
      </w:r>
      <w:r>
        <w:rPr>
          <w:i/>
        </w:rPr>
        <w:t>-sr-μm)</w:t>
      </w:r>
    </w:p>
    <w:p w:rsidR="00ED10C3" w:rsidRPr="000D3296" w:rsidRDefault="00ED10C3" w:rsidP="00ED10C3">
      <w:pPr>
        <w:pStyle w:val="Equation"/>
        <w:spacing w:after="0"/>
        <w:jc w:val="left"/>
        <w:rPr>
          <w:i/>
        </w:rPr>
      </w:pPr>
      <w:r>
        <w:rPr>
          <w:i/>
        </w:rPr>
        <w:t>T</w:t>
      </w:r>
      <w:r>
        <w:rPr>
          <w:i/>
          <w:vertAlign w:val="subscript"/>
        </w:rPr>
        <w:t>obc</w:t>
      </w:r>
      <w:r>
        <w:rPr>
          <w:i/>
        </w:rPr>
        <w:t xml:space="preserve"> = Telemetered temperature of the OBC blackbody (K) with correction of +0.3K.</w:t>
      </w:r>
      <w:r>
        <w:rPr>
          <w:i/>
        </w:rPr>
        <w:br/>
        <w:t>dn</w:t>
      </w:r>
      <w:r>
        <w:rPr>
          <w:i/>
          <w:vertAlign w:val="subscript"/>
        </w:rPr>
        <w:t>obc</w:t>
      </w:r>
      <w:r>
        <w:rPr>
          <w:i/>
        </w:rPr>
        <w:t xml:space="preserve"> = Digital number signal from the AIRS while viewing the OBC Blackbody</w:t>
      </w:r>
    </w:p>
    <w:p w:rsidR="00CC5305" w:rsidRDefault="00CC5305" w:rsidP="00ED10C3"/>
    <w:p w:rsidR="00852909" w:rsidRDefault="00852909" w:rsidP="00ED10C3">
      <w:r>
        <w:lastRenderedPageBreak/>
        <w:t xml:space="preserve">The method we use to determine the uncertainty of the computed Earth radiance is to numerically compute the change in radiance due to a perturbation of each of the terms in the radiative transfer equation.  Each term is perturbed based on the 1-sigma uncertainty for that term </w:t>
      </w:r>
      <w:r w:rsidR="005D6E2B">
        <w:t xml:space="preserve">for </w:t>
      </w:r>
      <w:r w:rsidR="00CC5305">
        <w:t>Version 5.  The median radiometric uncertainty for each of the AIRS 17 modules vs scene temperature is shown in Figure 1 for the assumptions listed in</w:t>
      </w:r>
      <w:r w:rsidR="005D6E2B">
        <w:t xml:space="preserve"> </w:t>
      </w:r>
      <w:r w:rsidR="00D76F43">
        <w:t>in Table 1.</w:t>
      </w:r>
      <w:r w:rsidR="00CC5305">
        <w:t xml:space="preserve"> </w:t>
      </w:r>
      <w:r w:rsidR="00F1608D">
        <w:t xml:space="preserve"> Also shown in Table 1 is the predicted 1-sigma uncertainty for the module centered at 9.14 μm.  </w:t>
      </w:r>
      <w:r w:rsidR="00CC5305">
        <w:t xml:space="preserve">Figure 2 shows the contributors to uncertainty for </w:t>
      </w:r>
      <w:r w:rsidR="003006A5">
        <w:rPr>
          <w:noProof/>
        </w:rPr>
        <mc:AlternateContent>
          <mc:Choice Requires="wps">
            <w:drawing>
              <wp:anchor distT="45720" distB="45720" distL="114300" distR="114300" simplePos="0" relativeHeight="251666432" behindDoc="0" locked="0" layoutInCell="1" allowOverlap="1" wp14:anchorId="103089E0" wp14:editId="31261ADC">
                <wp:simplePos x="0" y="0"/>
                <wp:positionH relativeFrom="margin">
                  <wp:align>right</wp:align>
                </wp:positionH>
                <wp:positionV relativeFrom="paragraph">
                  <wp:posOffset>4022090</wp:posOffset>
                </wp:positionV>
                <wp:extent cx="5884545" cy="3068320"/>
                <wp:effectExtent l="0" t="0" r="20955"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3068320"/>
                        </a:xfrm>
                        <a:prstGeom prst="rect">
                          <a:avLst/>
                        </a:prstGeom>
                        <a:solidFill>
                          <a:srgbClr val="FFFFFF"/>
                        </a:solidFill>
                        <a:ln w="9525">
                          <a:solidFill>
                            <a:srgbClr val="000000"/>
                          </a:solidFill>
                          <a:miter lim="800000"/>
                          <a:headEnd/>
                          <a:tailEnd/>
                        </a:ln>
                      </wps:spPr>
                      <wps:txbx>
                        <w:txbxContent>
                          <w:p w:rsidR="003006A5" w:rsidRDefault="003006A5" w:rsidP="003006A5">
                            <w:pPr>
                              <w:jc w:val="center"/>
                            </w:pPr>
                            <w:r>
                              <w:rPr>
                                <w:noProof/>
                              </w:rPr>
                              <w:drawing>
                                <wp:inline distT="0" distB="0" distL="0" distR="0" wp14:anchorId="5A338198" wp14:editId="04FF97D6">
                                  <wp:extent cx="3411191" cy="2558076"/>
                                  <wp:effectExtent l="0" t="0" r="0" b="0"/>
                                  <wp:docPr id="6" name="Picture 6" descr="C:\Users\tpagano\AppData\Local\Microsoft\Windows\INetCache\Content.Word\rea_V5_GSICS.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pagano\AppData\Local\Microsoft\Windows\INetCache\Content.Word\rea_V5_GSICS.f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5133" cy="2568532"/>
                                          </a:xfrm>
                                          <a:prstGeom prst="rect">
                                            <a:avLst/>
                                          </a:prstGeom>
                                          <a:noFill/>
                                          <a:ln>
                                            <a:noFill/>
                                          </a:ln>
                                        </pic:spPr>
                                      </pic:pic>
                                    </a:graphicData>
                                  </a:graphic>
                                </wp:inline>
                              </w:drawing>
                            </w:r>
                          </w:p>
                          <w:p w:rsidR="003006A5" w:rsidRDefault="003006A5" w:rsidP="003006A5">
                            <w:pPr>
                              <w:jc w:val="center"/>
                            </w:pPr>
                            <w:r>
                              <w:t>Figure 2: Contribution of each of the error sources at a scene temperature of 260K for each module.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089E0" id="_x0000_t202" coordsize="21600,21600" o:spt="202" path="m,l,21600r21600,l21600,xe">
                <v:stroke joinstyle="miter"/>
                <v:path gradientshapeok="t" o:connecttype="rect"/>
              </v:shapetype>
              <v:shape id="Text Box 2" o:spid="_x0000_s1026" type="#_x0000_t202" style="position:absolute;margin-left:412.15pt;margin-top:316.7pt;width:463.35pt;height:24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">
                <v:textbox>
                  <w:txbxContent>
                    <w:p w:rsidR="003006A5" w:rsidRDefault="003006A5" w:rsidP="003006A5">
                      <w:pPr>
                        <w:jc w:val="center"/>
                      </w:pPr>
                      <w:r>
                        <w:rPr>
                          <w:noProof/>
                        </w:rPr>
                        <w:drawing>
                          <wp:inline distT="0" distB="0" distL="0" distR="0" wp14:anchorId="5A338198" wp14:editId="04FF97D6">
                            <wp:extent cx="3411191" cy="2558076"/>
                            <wp:effectExtent l="0" t="0" r="0" b="0"/>
                            <wp:docPr id="6" name="Picture 6" descr="C:\Users\tpagano\AppData\Local\Microsoft\Windows\INetCache\Content.Word\rea_V5_GSICS.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pagano\AppData\Local\Microsoft\Windows\INetCache\Content.Word\rea_V5_GSICS.f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5133" cy="2568532"/>
                                    </a:xfrm>
                                    <a:prstGeom prst="rect">
                                      <a:avLst/>
                                    </a:prstGeom>
                                    <a:noFill/>
                                    <a:ln>
                                      <a:noFill/>
                                    </a:ln>
                                  </pic:spPr>
                                </pic:pic>
                              </a:graphicData>
                            </a:graphic>
                          </wp:inline>
                        </w:drawing>
                      </w:r>
                    </w:p>
                    <w:p w:rsidR="003006A5" w:rsidRDefault="003006A5" w:rsidP="003006A5">
                      <w:pPr>
                        <w:jc w:val="center"/>
                      </w:pPr>
                      <w:r>
                        <w:t>Figure 2: Contribution of each of the error sources at a scene temperature of 260K for each module.</w:t>
                      </w:r>
                    </w:p>
                  </w:txbxContent>
                </v:textbox>
                <w10:wrap type="topAndBottom" anchorx="margin"/>
              </v:shape>
            </w:pict>
          </mc:Fallback>
        </mc:AlternateContent>
      </w:r>
      <w:r w:rsidR="003006A5">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605615</wp:posOffset>
                </wp:positionV>
                <wp:extent cx="5884545" cy="3286760"/>
                <wp:effectExtent l="0" t="0" r="20955"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3286760"/>
                        </a:xfrm>
                        <a:prstGeom prst="rect">
                          <a:avLst/>
                        </a:prstGeom>
                        <a:solidFill>
                          <a:srgbClr val="FFFFFF"/>
                        </a:solidFill>
                        <a:ln w="9525">
                          <a:solidFill>
                            <a:srgbClr val="000000"/>
                          </a:solidFill>
                          <a:miter lim="800000"/>
                          <a:headEnd/>
                          <a:tailEnd/>
                        </a:ln>
                      </wps:spPr>
                      <wps:txbx>
                        <w:txbxContent>
                          <w:p w:rsidR="00FD5536" w:rsidRDefault="0052324E" w:rsidP="003006A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25pt;height:206.6pt">
                                  <v:imagedata r:id="rId11" o:title="rea_V5_GSICS"/>
                                </v:shape>
                              </w:pict>
                            </w:r>
                          </w:p>
                          <w:p w:rsidR="008B0066" w:rsidRDefault="003006A5" w:rsidP="003006A5">
                            <w:pPr>
                              <w:jc w:val="center"/>
                            </w:pPr>
                            <w:r>
                              <w:t xml:space="preserve">Figure 1: </w:t>
                            </w:r>
                            <w:r w:rsidR="008B0066">
                              <w:t>Radiometric Uncertainty vs Temperature for each of the AIRS 17 modules at center wavelength identified in the legend.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2.15pt;margin-top:47.7pt;width:463.35pt;height:258.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3dKQIAAE4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">
                <v:textbox>
                  <w:txbxContent>
                    <w:p w:rsidR="00FD5536" w:rsidRDefault="003A1574" w:rsidP="003006A5">
                      <w:pPr>
                        <w:jc w:val="center"/>
                      </w:pPr>
                      <w:r>
                        <w:pict>
                          <v:shape id="_x0000_i1026" type="#_x0000_t75" style="width:274.6pt;height:206.8pt">
                            <v:imagedata r:id="rId12" o:title="rea_V5_GSICS"/>
                          </v:shape>
                        </w:pict>
                      </w:r>
                    </w:p>
                    <w:p w:rsidR="008B0066" w:rsidRDefault="003006A5" w:rsidP="003006A5">
                      <w:pPr>
                        <w:jc w:val="center"/>
                      </w:pPr>
                      <w:r>
                        <w:t xml:space="preserve">Figure 1: </w:t>
                      </w:r>
                      <w:r w:rsidR="008B0066">
                        <w:t>Radiometric Uncertainty vs Temperature for each of the AIRS 17 modules at center wavelength identified in the legend.</w:t>
                      </w:r>
                    </w:p>
                  </w:txbxContent>
                </v:textbox>
                <w10:wrap type="topAndBottom" anchorx="margin"/>
              </v:shape>
            </w:pict>
          </mc:Fallback>
        </mc:AlternateContent>
      </w:r>
      <w:r w:rsidR="00CC5305">
        <w:t>each module.</w:t>
      </w:r>
    </w:p>
    <w:p w:rsidR="003006A5" w:rsidRDefault="003006A5" w:rsidP="00ED10C3"/>
    <w:p w:rsidR="00D76F43" w:rsidRDefault="00D76F43" w:rsidP="00ED10C3">
      <w:r>
        <w:rPr>
          <w:noProof/>
        </w:rPr>
        <w:lastRenderedPageBreak/>
        <mc:AlternateContent>
          <mc:Choice Requires="wps">
            <w:drawing>
              <wp:anchor distT="45720" distB="45720" distL="114300" distR="114300" simplePos="0" relativeHeight="251659264" behindDoc="0" locked="0" layoutInCell="1" allowOverlap="1" wp14:anchorId="07BB6A91" wp14:editId="3BF3E7AF">
                <wp:simplePos x="0" y="0"/>
                <wp:positionH relativeFrom="margin">
                  <wp:align>left</wp:align>
                </wp:positionH>
                <wp:positionV relativeFrom="paragraph">
                  <wp:posOffset>341630</wp:posOffset>
                </wp:positionV>
                <wp:extent cx="6013450" cy="351409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514090"/>
                        </a:xfrm>
                        <a:prstGeom prst="rect">
                          <a:avLst/>
                        </a:prstGeom>
                        <a:solidFill>
                          <a:srgbClr val="FFFFFF"/>
                        </a:solidFill>
                        <a:ln w="9525">
                          <a:solidFill>
                            <a:srgbClr val="FFFFFF"/>
                          </a:solidFill>
                          <a:miter lim="800000"/>
                          <a:headEnd/>
                          <a:tailEnd/>
                        </a:ln>
                      </wps:spPr>
                      <wps:txbx>
                        <w:txbxContent>
                          <w:p w:rsidR="00D76F43" w:rsidRDefault="00D76F43" w:rsidP="005D6E2B">
                            <w:r>
                              <w:t>Table 1.  Contributors to radiometric uncertainty in AIRS and computed uncertainty for the module centered at 9.14 μm for a scene temperature of 2</w:t>
                            </w:r>
                            <w:r w:rsidR="00F1608D">
                              <w:t>6</w:t>
                            </w:r>
                            <w:r>
                              <w:t>0K.  All values are 1-sigma</w:t>
                            </w:r>
                          </w:p>
                          <w:tbl>
                            <w:tblPr>
                              <w:tblW w:w="681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95"/>
                              <w:gridCol w:w="1096"/>
                              <w:gridCol w:w="1228"/>
                            </w:tblGrid>
                            <w:tr w:rsidR="00D76F43" w:rsidRPr="00C43319" w:rsidTr="00D76F43">
                              <w:trPr>
                                <w:trHeight w:val="288"/>
                                <w:jc w:val="center"/>
                              </w:trPr>
                              <w:tc>
                                <w:tcPr>
                                  <w:tcW w:w="4495" w:type="dxa"/>
                                  <w:tcBorders>
                                    <w:bottom w:val="single" w:sz="12" w:space="0" w:color="666666"/>
                                  </w:tcBorders>
                                  <w:shd w:val="clear" w:color="auto" w:fill="auto"/>
                                  <w:noWrap/>
                                  <w:hideMark/>
                                </w:tcPr>
                                <w:p w:rsidR="00D76F43" w:rsidRPr="00C43319" w:rsidRDefault="00D76F43" w:rsidP="00D76F43">
                                  <w:pPr>
                                    <w:spacing w:after="0"/>
                                    <w:rPr>
                                      <w:b/>
                                      <w:bCs/>
                                      <w:sz w:val="20"/>
                                    </w:rPr>
                                  </w:pPr>
                                  <w:r w:rsidRPr="00C43319">
                                    <w:rPr>
                                      <w:b/>
                                      <w:bCs/>
                                      <w:sz w:val="20"/>
                                    </w:rPr>
                                    <w:t>Parameter</w:t>
                                  </w:r>
                                </w:p>
                              </w:tc>
                              <w:tc>
                                <w:tcPr>
                                  <w:tcW w:w="1096" w:type="dxa"/>
                                  <w:tcBorders>
                                    <w:bottom w:val="single" w:sz="12" w:space="0" w:color="666666"/>
                                  </w:tcBorders>
                                  <w:shd w:val="clear" w:color="auto" w:fill="auto"/>
                                  <w:noWrap/>
                                  <w:hideMark/>
                                </w:tcPr>
                                <w:p w:rsidR="00D76F43" w:rsidRDefault="005D6E2B" w:rsidP="00D76F43">
                                  <w:pPr>
                                    <w:spacing w:after="0"/>
                                    <w:jc w:val="center"/>
                                    <w:rPr>
                                      <w:b/>
                                      <w:bCs/>
                                      <w:sz w:val="20"/>
                                    </w:rPr>
                                  </w:pPr>
                                  <w:r>
                                    <w:rPr>
                                      <w:b/>
                                      <w:bCs/>
                                      <w:sz w:val="20"/>
                                    </w:rPr>
                                    <w:t>1</w:t>
                                  </w:r>
                                  <w:r w:rsidR="00D76F43" w:rsidRPr="00C43319">
                                    <w:rPr>
                                      <w:b/>
                                      <w:bCs/>
                                      <w:sz w:val="20"/>
                                    </w:rPr>
                                    <w:t>-σ</w:t>
                                  </w:r>
                                  <w:r w:rsidR="00D76F43" w:rsidRPr="00C43319">
                                    <w:rPr>
                                      <w:b/>
                                      <w:bCs/>
                                      <w:sz w:val="20"/>
                                    </w:rPr>
                                    <w:br/>
                                  </w:r>
                                  <w:r w:rsidR="00D76F43">
                                    <w:rPr>
                                      <w:b/>
                                      <w:bCs/>
                                      <w:sz w:val="20"/>
                                    </w:rPr>
                                    <w:t>Parameter</w:t>
                                  </w:r>
                                </w:p>
                                <w:p w:rsidR="00D76F43" w:rsidRPr="00C43319" w:rsidRDefault="00D76F43" w:rsidP="00D76F43">
                                  <w:pPr>
                                    <w:spacing w:after="0"/>
                                    <w:jc w:val="center"/>
                                    <w:rPr>
                                      <w:b/>
                                      <w:bCs/>
                                      <w:sz w:val="20"/>
                                    </w:rPr>
                                  </w:pPr>
                                  <w:r w:rsidRPr="00C43319">
                                    <w:rPr>
                                      <w:b/>
                                      <w:bCs/>
                                      <w:sz w:val="20"/>
                                    </w:rPr>
                                    <w:t>Uncty</w:t>
                                  </w:r>
                                </w:p>
                              </w:tc>
                              <w:tc>
                                <w:tcPr>
                                  <w:tcW w:w="1228" w:type="dxa"/>
                                  <w:tcBorders>
                                    <w:bottom w:val="single" w:sz="12" w:space="0" w:color="666666"/>
                                  </w:tcBorders>
                                  <w:shd w:val="clear" w:color="auto" w:fill="auto"/>
                                  <w:noWrap/>
                                  <w:hideMark/>
                                </w:tcPr>
                                <w:p w:rsidR="00D76F43" w:rsidRPr="00C43319" w:rsidRDefault="005D6E2B" w:rsidP="00D76F43">
                                  <w:pPr>
                                    <w:spacing w:after="0"/>
                                    <w:jc w:val="center"/>
                                    <w:rPr>
                                      <w:b/>
                                      <w:bCs/>
                                      <w:sz w:val="20"/>
                                    </w:rPr>
                                  </w:pPr>
                                  <w:r>
                                    <w:rPr>
                                      <w:b/>
                                      <w:bCs/>
                                      <w:sz w:val="20"/>
                                    </w:rPr>
                                    <w:t>1</w:t>
                                  </w:r>
                                  <w:r w:rsidR="00D76F43" w:rsidRPr="00C43319">
                                    <w:rPr>
                                      <w:b/>
                                      <w:bCs/>
                                      <w:sz w:val="20"/>
                                    </w:rPr>
                                    <w:t>-σ</w:t>
                                  </w:r>
                                  <w:r w:rsidR="00D76F43" w:rsidRPr="00C43319">
                                    <w:rPr>
                                      <w:b/>
                                      <w:bCs/>
                                      <w:sz w:val="20"/>
                                    </w:rPr>
                                    <w:br/>
                                  </w:r>
                                  <w:r w:rsidR="00D76F43">
                                    <w:rPr>
                                      <w:b/>
                                      <w:bCs/>
                                      <w:sz w:val="20"/>
                                    </w:rPr>
                                    <w:t>Radiometric</w:t>
                                  </w:r>
                                  <w:r w:rsidR="00D76F43">
                                    <w:rPr>
                                      <w:b/>
                                      <w:bCs/>
                                      <w:sz w:val="20"/>
                                    </w:rPr>
                                    <w:br/>
                                  </w:r>
                                  <w:r w:rsidR="00D76F43" w:rsidRPr="00C43319">
                                    <w:rPr>
                                      <w:b/>
                                      <w:bCs/>
                                      <w:sz w:val="20"/>
                                    </w:rPr>
                                    <w:t>Uncty (K)</w:t>
                                  </w:r>
                                </w:p>
                              </w:tc>
                            </w:tr>
                            <w:tr w:rsidR="00D76F43" w:rsidRPr="00C43319" w:rsidTr="00D76F43">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Version</w:t>
                                  </w:r>
                                </w:p>
                              </w:tc>
                              <w:tc>
                                <w:tcPr>
                                  <w:tcW w:w="1096" w:type="dxa"/>
                                  <w:shd w:val="clear" w:color="auto" w:fill="auto"/>
                                  <w:noWrap/>
                                  <w:hideMark/>
                                </w:tcPr>
                                <w:p w:rsidR="00D76F43" w:rsidRPr="00C43319" w:rsidRDefault="00D76F43" w:rsidP="00D76F43">
                                  <w:pPr>
                                    <w:spacing w:after="0"/>
                                    <w:jc w:val="center"/>
                                    <w:rPr>
                                      <w:sz w:val="20"/>
                                    </w:rPr>
                                  </w:pPr>
                                  <w:r w:rsidRPr="00C43319">
                                    <w:rPr>
                                      <w:sz w:val="20"/>
                                    </w:rPr>
                                    <w:t>V5</w:t>
                                  </w:r>
                                </w:p>
                              </w:tc>
                              <w:tc>
                                <w:tcPr>
                                  <w:tcW w:w="1228" w:type="dxa"/>
                                  <w:shd w:val="clear" w:color="auto" w:fill="auto"/>
                                  <w:noWrap/>
                                  <w:hideMark/>
                                </w:tcPr>
                                <w:p w:rsidR="00D76F43" w:rsidRPr="00C43319" w:rsidRDefault="00D76F43" w:rsidP="00D76F43">
                                  <w:pPr>
                                    <w:spacing w:after="0"/>
                                    <w:jc w:val="center"/>
                                    <w:rPr>
                                      <w:sz w:val="20"/>
                                    </w:rPr>
                                  </w:pPr>
                                  <w:r w:rsidRPr="00C43319">
                                    <w:rPr>
                                      <w:sz w:val="20"/>
                                    </w:rPr>
                                    <w:t>V5</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LABB Temperature</w:t>
                                  </w:r>
                                </w:p>
                              </w:tc>
                              <w:tc>
                                <w:tcPr>
                                  <w:tcW w:w="1096" w:type="dxa"/>
                                  <w:shd w:val="clear" w:color="auto" w:fill="auto"/>
                                  <w:noWrap/>
                                  <w:hideMark/>
                                </w:tcPr>
                                <w:p w:rsidR="00D76F43" w:rsidRPr="00C43319" w:rsidRDefault="00D76F43" w:rsidP="00D76F43">
                                  <w:pPr>
                                    <w:spacing w:after="0"/>
                                    <w:jc w:val="center"/>
                                    <w:rPr>
                                      <w:sz w:val="20"/>
                                    </w:rPr>
                                  </w:pPr>
                                  <w:r w:rsidRPr="00C43319">
                                    <w:rPr>
                                      <w:sz w:val="20"/>
                                    </w:rPr>
                                    <w:t>0.03K</w:t>
                                  </w:r>
                                </w:p>
                              </w:tc>
                              <w:tc>
                                <w:tcPr>
                                  <w:tcW w:w="1228" w:type="dxa"/>
                                  <w:shd w:val="clear" w:color="auto" w:fill="auto"/>
                                  <w:noWrap/>
                                </w:tcPr>
                                <w:p w:rsidR="00D76F43" w:rsidRPr="00C43319" w:rsidRDefault="00F1608D" w:rsidP="00D76F43">
                                  <w:pPr>
                                    <w:spacing w:after="0"/>
                                    <w:jc w:val="center"/>
                                    <w:rPr>
                                      <w:sz w:val="20"/>
                                    </w:rPr>
                                  </w:pPr>
                                  <w:r>
                                    <w:rPr>
                                      <w:sz w:val="20"/>
                                    </w:rPr>
                                    <w:t>0.03K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LABB Emissivity</w:t>
                                  </w:r>
                                </w:p>
                              </w:tc>
                              <w:tc>
                                <w:tcPr>
                                  <w:tcW w:w="1096" w:type="dxa"/>
                                  <w:shd w:val="clear" w:color="auto" w:fill="auto"/>
                                  <w:noWrap/>
                                  <w:hideMark/>
                                </w:tcPr>
                                <w:p w:rsidR="00D76F43" w:rsidRPr="00C43319" w:rsidRDefault="00D76F43" w:rsidP="000434A5">
                                  <w:pPr>
                                    <w:spacing w:after="0"/>
                                    <w:jc w:val="center"/>
                                    <w:rPr>
                                      <w:sz w:val="20"/>
                                    </w:rPr>
                                  </w:pPr>
                                  <w:r w:rsidRPr="00C43319">
                                    <w:rPr>
                                      <w:sz w:val="20"/>
                                    </w:rPr>
                                    <w:t>0.000</w:t>
                                  </w:r>
                                  <w:r w:rsidR="000434A5">
                                    <w:rPr>
                                      <w:sz w:val="20"/>
                                    </w:rPr>
                                    <w:t>05</w:t>
                                  </w:r>
                                </w:p>
                              </w:tc>
                              <w:tc>
                                <w:tcPr>
                                  <w:tcW w:w="1228" w:type="dxa"/>
                                  <w:shd w:val="clear" w:color="auto" w:fill="auto"/>
                                  <w:noWrap/>
                                </w:tcPr>
                                <w:p w:rsidR="00D76F43" w:rsidRPr="00C43319" w:rsidRDefault="00F1608D" w:rsidP="00D76F43">
                                  <w:pPr>
                                    <w:spacing w:after="0"/>
                                    <w:jc w:val="center"/>
                                    <w:rPr>
                                      <w:sz w:val="20"/>
                                    </w:rPr>
                                  </w:pPr>
                                  <w:r>
                                    <w:rPr>
                                      <w:sz w:val="20"/>
                                    </w:rPr>
                                    <w:t>0.002K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Scan Mirror Temperature</w:t>
                                  </w:r>
                                </w:p>
                              </w:tc>
                              <w:tc>
                                <w:tcPr>
                                  <w:tcW w:w="1096" w:type="dxa"/>
                                  <w:shd w:val="clear" w:color="auto" w:fill="auto"/>
                                  <w:noWrap/>
                                  <w:hideMark/>
                                </w:tcPr>
                                <w:p w:rsidR="00D76F43" w:rsidRPr="00C43319" w:rsidRDefault="005904D1" w:rsidP="00D76F43">
                                  <w:pPr>
                                    <w:spacing w:after="0"/>
                                    <w:jc w:val="center"/>
                                    <w:rPr>
                                      <w:sz w:val="20"/>
                                    </w:rPr>
                                  </w:pPr>
                                  <w:r>
                                    <w:rPr>
                                      <w:sz w:val="20"/>
                                    </w:rPr>
                                    <w:t>1.25</w:t>
                                  </w:r>
                                  <w:r w:rsidR="00D76F43" w:rsidRPr="00C43319">
                                    <w:rPr>
                                      <w:sz w:val="20"/>
                                    </w:rPr>
                                    <w:t>K</w:t>
                                  </w:r>
                                </w:p>
                              </w:tc>
                              <w:tc>
                                <w:tcPr>
                                  <w:tcW w:w="1228" w:type="dxa"/>
                                  <w:shd w:val="clear" w:color="auto" w:fill="auto"/>
                                  <w:noWrap/>
                                </w:tcPr>
                                <w:p w:rsidR="00D76F43" w:rsidRPr="00C43319" w:rsidRDefault="00F1608D" w:rsidP="00D76F43">
                                  <w:pPr>
                                    <w:spacing w:after="0"/>
                                    <w:jc w:val="center"/>
                                    <w:rPr>
                                      <w:sz w:val="20"/>
                                    </w:rPr>
                                  </w:pPr>
                                  <w:r>
                                    <w:rPr>
                                      <w:sz w:val="20"/>
                                    </w:rPr>
                                    <w:t>0.006K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Polarization Amplitude</w:t>
                                  </w:r>
                                </w:p>
                              </w:tc>
                              <w:tc>
                                <w:tcPr>
                                  <w:tcW w:w="1096" w:type="dxa"/>
                                  <w:shd w:val="clear" w:color="auto" w:fill="auto"/>
                                  <w:noWrap/>
                                </w:tcPr>
                                <w:p w:rsidR="00D76F43" w:rsidRPr="00C43319" w:rsidRDefault="005904D1" w:rsidP="00F1608D">
                                  <w:pPr>
                                    <w:spacing w:after="0"/>
                                    <w:jc w:val="center"/>
                                    <w:rPr>
                                      <w:sz w:val="20"/>
                                    </w:rPr>
                                  </w:pPr>
                                  <w:r>
                                    <w:rPr>
                                      <w:sz w:val="20"/>
                                    </w:rPr>
                                    <w:t>.0009</w:t>
                                  </w:r>
                                </w:p>
                              </w:tc>
                              <w:tc>
                                <w:tcPr>
                                  <w:tcW w:w="1228" w:type="dxa"/>
                                  <w:shd w:val="clear" w:color="auto" w:fill="auto"/>
                                  <w:noWrap/>
                                </w:tcPr>
                                <w:p w:rsidR="00D76F43" w:rsidRPr="00C43319" w:rsidRDefault="00F1608D" w:rsidP="00D76F43">
                                  <w:pPr>
                                    <w:spacing w:after="0"/>
                                    <w:jc w:val="center"/>
                                    <w:rPr>
                                      <w:sz w:val="20"/>
                                    </w:rPr>
                                  </w:pPr>
                                  <w:r>
                                    <w:rPr>
                                      <w:sz w:val="20"/>
                                    </w:rPr>
                                    <w:t>0.04K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Polarization Phase</w:t>
                                  </w:r>
                                </w:p>
                              </w:tc>
                              <w:tc>
                                <w:tcPr>
                                  <w:tcW w:w="1096" w:type="dxa"/>
                                  <w:shd w:val="clear" w:color="auto" w:fill="auto"/>
                                  <w:noWrap/>
                                </w:tcPr>
                                <w:p w:rsidR="00D76F43" w:rsidRPr="00C43319" w:rsidRDefault="005904D1" w:rsidP="00F1608D">
                                  <w:pPr>
                                    <w:spacing w:after="0"/>
                                    <w:jc w:val="center"/>
                                    <w:rPr>
                                      <w:sz w:val="20"/>
                                    </w:rPr>
                                  </w:pPr>
                                  <w:r>
                                    <w:rPr>
                                      <w:sz w:val="20"/>
                                    </w:rPr>
                                    <w:t>.08</w:t>
                                  </w:r>
                                </w:p>
                              </w:tc>
                              <w:tc>
                                <w:tcPr>
                                  <w:tcW w:w="1228" w:type="dxa"/>
                                  <w:shd w:val="clear" w:color="auto" w:fill="auto"/>
                                  <w:noWrap/>
                                </w:tcPr>
                                <w:p w:rsidR="00D76F43" w:rsidRPr="00C43319" w:rsidRDefault="00F1608D" w:rsidP="00D76F43">
                                  <w:pPr>
                                    <w:spacing w:after="0"/>
                                    <w:jc w:val="center"/>
                                    <w:rPr>
                                      <w:sz w:val="20"/>
                                    </w:rPr>
                                  </w:pPr>
                                  <w:r>
                                    <w:rPr>
                                      <w:sz w:val="20"/>
                                    </w:rPr>
                                    <w:t>0.005K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Emissivity</w:t>
                                  </w:r>
                                </w:p>
                              </w:tc>
                              <w:tc>
                                <w:tcPr>
                                  <w:tcW w:w="1096" w:type="dxa"/>
                                  <w:shd w:val="clear" w:color="auto" w:fill="auto"/>
                                  <w:noWrap/>
                                </w:tcPr>
                                <w:p w:rsidR="00D76F43" w:rsidRPr="00C43319" w:rsidRDefault="005904D1" w:rsidP="00F1608D">
                                  <w:pPr>
                                    <w:spacing w:after="0"/>
                                    <w:jc w:val="center"/>
                                    <w:rPr>
                                      <w:sz w:val="20"/>
                                    </w:rPr>
                                  </w:pPr>
                                  <w:r>
                                    <w:rPr>
                                      <w:sz w:val="20"/>
                                    </w:rPr>
                                    <w:t>.00</w:t>
                                  </w:r>
                                  <w:r w:rsidR="00F1608D">
                                    <w:rPr>
                                      <w:sz w:val="20"/>
                                    </w:rPr>
                                    <w:t>2</w:t>
                                  </w:r>
                                </w:p>
                              </w:tc>
                              <w:tc>
                                <w:tcPr>
                                  <w:tcW w:w="1228" w:type="dxa"/>
                                  <w:shd w:val="clear" w:color="auto" w:fill="auto"/>
                                  <w:noWrap/>
                                </w:tcPr>
                                <w:p w:rsidR="00D76F43" w:rsidRPr="00C43319" w:rsidRDefault="00F1608D" w:rsidP="00D76F43">
                                  <w:pPr>
                                    <w:spacing w:after="0"/>
                                    <w:jc w:val="center"/>
                                    <w:rPr>
                                      <w:sz w:val="20"/>
                                    </w:rPr>
                                  </w:pPr>
                                  <w:r>
                                    <w:rPr>
                                      <w:sz w:val="20"/>
                                    </w:rPr>
                                    <w:t>0.07K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Emissivity (EOL)</w:t>
                                  </w:r>
                                </w:p>
                              </w:tc>
                              <w:tc>
                                <w:tcPr>
                                  <w:tcW w:w="1096" w:type="dxa"/>
                                  <w:shd w:val="clear" w:color="auto" w:fill="auto"/>
                                  <w:noWrap/>
                                  <w:hideMark/>
                                </w:tcPr>
                                <w:p w:rsidR="00D76F43" w:rsidRPr="00C43319" w:rsidRDefault="00D76F43" w:rsidP="00723E8A">
                                  <w:pPr>
                                    <w:spacing w:after="0"/>
                                    <w:jc w:val="center"/>
                                    <w:rPr>
                                      <w:sz w:val="20"/>
                                    </w:rPr>
                                  </w:pPr>
                                  <w:r w:rsidRPr="00C43319">
                                    <w:rPr>
                                      <w:sz w:val="20"/>
                                    </w:rPr>
                                    <w:t>0.000</w:t>
                                  </w:r>
                                  <w:r w:rsidR="00723E8A">
                                    <w:rPr>
                                      <w:sz w:val="20"/>
                                    </w:rPr>
                                    <w:t>1</w:t>
                                  </w:r>
                                </w:p>
                              </w:tc>
                              <w:tc>
                                <w:tcPr>
                                  <w:tcW w:w="1228" w:type="dxa"/>
                                  <w:shd w:val="clear" w:color="auto" w:fill="auto"/>
                                  <w:noWrap/>
                                </w:tcPr>
                                <w:p w:rsidR="00D76F43" w:rsidRPr="00C43319" w:rsidRDefault="00F1608D" w:rsidP="00D76F43">
                                  <w:pPr>
                                    <w:spacing w:after="0"/>
                                    <w:jc w:val="center"/>
                                    <w:rPr>
                                      <w:sz w:val="20"/>
                                    </w:rPr>
                                  </w:pPr>
                                  <w:r>
                                    <w:rPr>
                                      <w:sz w:val="20"/>
                                    </w:rPr>
                                    <w:t>0.004K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Temperature</w:t>
                                  </w:r>
                                </w:p>
                              </w:tc>
                              <w:tc>
                                <w:tcPr>
                                  <w:tcW w:w="1096" w:type="dxa"/>
                                  <w:shd w:val="clear" w:color="auto" w:fill="auto"/>
                                  <w:noWrap/>
                                  <w:hideMark/>
                                </w:tcPr>
                                <w:p w:rsidR="00D76F43" w:rsidRPr="00F1608D" w:rsidRDefault="00D76F43" w:rsidP="00D76F43">
                                  <w:pPr>
                                    <w:spacing w:after="0"/>
                                    <w:jc w:val="center"/>
                                    <w:rPr>
                                      <w:color w:val="auto"/>
                                      <w:sz w:val="20"/>
                                    </w:rPr>
                                  </w:pPr>
                                  <w:r w:rsidRPr="00F1608D">
                                    <w:rPr>
                                      <w:color w:val="auto"/>
                                      <w:sz w:val="20"/>
                                    </w:rPr>
                                    <w:t>0.05K</w:t>
                                  </w:r>
                                </w:p>
                              </w:tc>
                              <w:tc>
                                <w:tcPr>
                                  <w:tcW w:w="1228" w:type="dxa"/>
                                  <w:shd w:val="clear" w:color="auto" w:fill="auto"/>
                                  <w:noWrap/>
                                </w:tcPr>
                                <w:p w:rsidR="00D76F43" w:rsidRPr="00C43319" w:rsidRDefault="00F1608D" w:rsidP="00D76F43">
                                  <w:pPr>
                                    <w:spacing w:after="0"/>
                                    <w:jc w:val="center"/>
                                    <w:rPr>
                                      <w:sz w:val="20"/>
                                    </w:rPr>
                                  </w:pPr>
                                  <w:r>
                                    <w:rPr>
                                      <w:sz w:val="20"/>
                                    </w:rPr>
                                    <w:t>.04K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Nonlinearity</w:t>
                                  </w:r>
                                </w:p>
                              </w:tc>
                              <w:tc>
                                <w:tcPr>
                                  <w:tcW w:w="1096" w:type="dxa"/>
                                  <w:shd w:val="clear" w:color="auto" w:fill="auto"/>
                                  <w:noWrap/>
                                  <w:hideMark/>
                                </w:tcPr>
                                <w:p w:rsidR="00D76F43" w:rsidRPr="00F1608D" w:rsidRDefault="000A2CB5" w:rsidP="00F1608D">
                                  <w:pPr>
                                    <w:spacing w:after="0"/>
                                    <w:jc w:val="center"/>
                                    <w:rPr>
                                      <w:color w:val="auto"/>
                                      <w:sz w:val="20"/>
                                    </w:rPr>
                                  </w:pPr>
                                  <w:r w:rsidRPr="00F1608D">
                                    <w:rPr>
                                      <w:color w:val="auto"/>
                                      <w:sz w:val="20"/>
                                    </w:rPr>
                                    <w:t>2.</w:t>
                                  </w:r>
                                  <w:r w:rsidR="00F1608D" w:rsidRPr="00F1608D">
                                    <w:rPr>
                                      <w:color w:val="auto"/>
                                      <w:sz w:val="20"/>
                                    </w:rPr>
                                    <w:t>7</w:t>
                                  </w:r>
                                  <w:r w:rsidR="00D76F43" w:rsidRPr="00F1608D">
                                    <w:rPr>
                                      <w:color w:val="auto"/>
                                      <w:sz w:val="20"/>
                                    </w:rPr>
                                    <w:t>%*</w:t>
                                  </w:r>
                                </w:p>
                              </w:tc>
                              <w:tc>
                                <w:tcPr>
                                  <w:tcW w:w="1228" w:type="dxa"/>
                                  <w:shd w:val="clear" w:color="auto" w:fill="auto"/>
                                  <w:noWrap/>
                                </w:tcPr>
                                <w:p w:rsidR="00D76F43" w:rsidRPr="00C43319" w:rsidRDefault="00F1608D" w:rsidP="00D76F43">
                                  <w:pPr>
                                    <w:spacing w:after="0"/>
                                    <w:jc w:val="center"/>
                                    <w:rPr>
                                      <w:sz w:val="20"/>
                                    </w:rPr>
                                  </w:pPr>
                                  <w:r>
                                    <w:rPr>
                                      <w:sz w:val="20"/>
                                    </w:rPr>
                                    <w:t>0.21K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drift in space view</w:t>
                                  </w:r>
                                </w:p>
                              </w:tc>
                              <w:tc>
                                <w:tcPr>
                                  <w:tcW w:w="1096" w:type="dxa"/>
                                  <w:shd w:val="clear" w:color="auto" w:fill="auto"/>
                                  <w:noWrap/>
                                  <w:hideMark/>
                                </w:tcPr>
                                <w:p w:rsidR="00D76F43" w:rsidRPr="00F1608D" w:rsidRDefault="00D76F43" w:rsidP="000A2CB5">
                                  <w:pPr>
                                    <w:spacing w:after="0"/>
                                    <w:jc w:val="center"/>
                                    <w:rPr>
                                      <w:color w:val="auto"/>
                                      <w:sz w:val="20"/>
                                    </w:rPr>
                                  </w:pPr>
                                  <w:r w:rsidRPr="00F1608D">
                                    <w:rPr>
                                      <w:color w:val="auto"/>
                                      <w:sz w:val="20"/>
                                    </w:rPr>
                                    <w:t>0.0</w:t>
                                  </w:r>
                                  <w:r w:rsidR="000A2CB5" w:rsidRPr="00F1608D">
                                    <w:rPr>
                                      <w:color w:val="auto"/>
                                      <w:sz w:val="20"/>
                                    </w:rPr>
                                    <w:t>4</w:t>
                                  </w:r>
                                  <w:r w:rsidRPr="00F1608D">
                                    <w:rPr>
                                      <w:color w:val="auto"/>
                                      <w:sz w:val="20"/>
                                    </w:rPr>
                                    <w:t>dn</w:t>
                                  </w:r>
                                </w:p>
                              </w:tc>
                              <w:tc>
                                <w:tcPr>
                                  <w:tcW w:w="1228" w:type="dxa"/>
                                  <w:shd w:val="clear" w:color="auto" w:fill="auto"/>
                                  <w:noWrap/>
                                </w:tcPr>
                                <w:p w:rsidR="00D76F43" w:rsidRPr="00C43319" w:rsidRDefault="00F1608D" w:rsidP="00D76F43">
                                  <w:pPr>
                                    <w:spacing w:after="0"/>
                                    <w:jc w:val="center"/>
                                    <w:rPr>
                                      <w:sz w:val="20"/>
                                    </w:rPr>
                                  </w:pPr>
                                  <w:r>
                                    <w:rPr>
                                      <w:sz w:val="20"/>
                                    </w:rPr>
                                    <w:t>0.001K</w:t>
                                  </w:r>
                                </w:p>
                              </w:tc>
                            </w:tr>
                            <w:tr w:rsidR="00D76F43" w:rsidRPr="00C43319" w:rsidTr="005D6E2B">
                              <w:trPr>
                                <w:trHeight w:val="288"/>
                                <w:jc w:val="center"/>
                              </w:trPr>
                              <w:tc>
                                <w:tcPr>
                                  <w:tcW w:w="4495" w:type="dxa"/>
                                  <w:shd w:val="clear" w:color="auto" w:fill="auto"/>
                                  <w:noWrap/>
                                  <w:hideMark/>
                                </w:tcPr>
                                <w:p w:rsidR="00D76F43" w:rsidRPr="00C43319" w:rsidRDefault="00D76F43" w:rsidP="00F1608D">
                                  <w:pPr>
                                    <w:spacing w:after="0"/>
                                    <w:rPr>
                                      <w:b/>
                                      <w:bCs/>
                                      <w:sz w:val="20"/>
                                    </w:rPr>
                                  </w:pPr>
                                  <w:r w:rsidRPr="00C43319">
                                    <w:rPr>
                                      <w:b/>
                                      <w:bCs/>
                                      <w:sz w:val="20"/>
                                    </w:rPr>
                                    <w:t xml:space="preserve">Total Uncertainty </w:t>
                                  </w:r>
                                  <w:r>
                                    <w:rPr>
                                      <w:b/>
                                      <w:bCs/>
                                      <w:sz w:val="20"/>
                                    </w:rPr>
                                    <w:t>at 2</w:t>
                                  </w:r>
                                  <w:r w:rsidR="00F1608D">
                                    <w:rPr>
                                      <w:b/>
                                      <w:bCs/>
                                      <w:sz w:val="20"/>
                                    </w:rPr>
                                    <w:t>6</w:t>
                                  </w:r>
                                  <w:r>
                                    <w:rPr>
                                      <w:b/>
                                      <w:bCs/>
                                      <w:sz w:val="20"/>
                                    </w:rPr>
                                    <w:t>0K</w:t>
                                  </w:r>
                                </w:p>
                              </w:tc>
                              <w:tc>
                                <w:tcPr>
                                  <w:tcW w:w="1096" w:type="dxa"/>
                                  <w:shd w:val="clear" w:color="auto" w:fill="auto"/>
                                  <w:noWrap/>
                                  <w:hideMark/>
                                </w:tcPr>
                                <w:p w:rsidR="00D76F43" w:rsidRPr="00C43319" w:rsidRDefault="00D76F43" w:rsidP="00D76F43">
                                  <w:pPr>
                                    <w:spacing w:after="0"/>
                                    <w:jc w:val="center"/>
                                    <w:rPr>
                                      <w:sz w:val="20"/>
                                    </w:rPr>
                                  </w:pPr>
                                </w:p>
                              </w:tc>
                              <w:tc>
                                <w:tcPr>
                                  <w:tcW w:w="1228" w:type="dxa"/>
                                  <w:shd w:val="clear" w:color="auto" w:fill="auto"/>
                                  <w:noWrap/>
                                </w:tcPr>
                                <w:p w:rsidR="00D76F43" w:rsidRPr="00C43319" w:rsidRDefault="00F1608D" w:rsidP="00D76F43">
                                  <w:pPr>
                                    <w:spacing w:after="0"/>
                                    <w:jc w:val="center"/>
                                    <w:rPr>
                                      <w:sz w:val="20"/>
                                    </w:rPr>
                                  </w:pPr>
                                  <w:r>
                                    <w:rPr>
                                      <w:sz w:val="20"/>
                                    </w:rPr>
                                    <w:t>0.24K</w:t>
                                  </w:r>
                                </w:p>
                              </w:tc>
                            </w:tr>
                          </w:tbl>
                          <w:p w:rsidR="00D76F43" w:rsidRPr="00E13C12" w:rsidRDefault="00D76F43" w:rsidP="00D76F43">
                            <w:pPr>
                              <w:rPr>
                                <w:sz w:val="18"/>
                                <w:szCs w:val="18"/>
                                <w:vertAlign w:val="subscript"/>
                              </w:rPr>
                            </w:pPr>
                            <w:r w:rsidRPr="00E13C12">
                              <w:rPr>
                                <w:sz w:val="18"/>
                                <w:szCs w:val="18"/>
                              </w:rPr>
                              <w:t>*Expressed as a percentage of the radiance at L</w:t>
                            </w:r>
                            <w:r w:rsidRPr="00E13C12">
                              <w:rPr>
                                <w:sz w:val="18"/>
                                <w:szCs w:val="18"/>
                                <w:vertAlign w:val="subscript"/>
                              </w:rPr>
                              <w:t>sat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B6A91" id="_x0000_t202" coordsize="21600,21600" o:spt="202" path="m,l,21600r21600,l21600,xe">
                <v:stroke joinstyle="miter"/>
                <v:path gradientshapeok="t" o:connecttype="rect"/>
              </v:shapetype>
              <v:shape id="_x0000_s1028" type="#_x0000_t202" style="position:absolute;margin-left:0;margin-top:26.9pt;width:473.5pt;height:27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" strokecolor="white">
                <v:textbox>
                  <w:txbxContent>
                    <w:p w:rsidR="00D76F43" w:rsidRDefault="00D76F43" w:rsidP="005D6E2B">
                      <w:r>
                        <w:t>Table 1.  Contributors to radiometric uncertainty in AIRS and computed uncertainty for the module centered at 9.14 μm for a scene temperature of 2</w:t>
                      </w:r>
                      <w:r w:rsidR="00F1608D">
                        <w:t>6</w:t>
                      </w:r>
                      <w:r>
                        <w:t>0K.  All values are 1-sigma</w:t>
                      </w:r>
                    </w:p>
                    <w:tbl>
                      <w:tblPr>
                        <w:tblW w:w="681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95"/>
                        <w:gridCol w:w="1096"/>
                        <w:gridCol w:w="1228"/>
                      </w:tblGrid>
                      <w:tr w:rsidR="00D76F43" w:rsidRPr="00C43319" w:rsidTr="00D76F43">
                        <w:trPr>
                          <w:trHeight w:val="288"/>
                          <w:jc w:val="center"/>
                        </w:trPr>
                        <w:tc>
                          <w:tcPr>
                            <w:tcW w:w="4495" w:type="dxa"/>
                            <w:tcBorders>
                              <w:bottom w:val="single" w:sz="12" w:space="0" w:color="666666"/>
                            </w:tcBorders>
                            <w:shd w:val="clear" w:color="auto" w:fill="auto"/>
                            <w:noWrap/>
                            <w:hideMark/>
                          </w:tcPr>
                          <w:p w:rsidR="00D76F43" w:rsidRPr="00C43319" w:rsidRDefault="00D76F43" w:rsidP="00D76F43">
                            <w:pPr>
                              <w:spacing w:after="0"/>
                              <w:rPr>
                                <w:b/>
                                <w:bCs/>
                                <w:sz w:val="20"/>
                              </w:rPr>
                            </w:pPr>
                            <w:r w:rsidRPr="00C43319">
                              <w:rPr>
                                <w:b/>
                                <w:bCs/>
                                <w:sz w:val="20"/>
                              </w:rPr>
                              <w:t>Parameter</w:t>
                            </w:r>
                          </w:p>
                        </w:tc>
                        <w:tc>
                          <w:tcPr>
                            <w:tcW w:w="1096" w:type="dxa"/>
                            <w:tcBorders>
                              <w:bottom w:val="single" w:sz="12" w:space="0" w:color="666666"/>
                            </w:tcBorders>
                            <w:shd w:val="clear" w:color="auto" w:fill="auto"/>
                            <w:noWrap/>
                            <w:hideMark/>
                          </w:tcPr>
                          <w:p w:rsidR="00D76F43" w:rsidRDefault="005D6E2B" w:rsidP="00D76F43">
                            <w:pPr>
                              <w:spacing w:after="0"/>
                              <w:jc w:val="center"/>
                              <w:rPr>
                                <w:b/>
                                <w:bCs/>
                                <w:sz w:val="20"/>
                              </w:rPr>
                            </w:pPr>
                            <w:r>
                              <w:rPr>
                                <w:b/>
                                <w:bCs/>
                                <w:sz w:val="20"/>
                              </w:rPr>
                              <w:t>1</w:t>
                            </w:r>
                            <w:r w:rsidR="00D76F43" w:rsidRPr="00C43319">
                              <w:rPr>
                                <w:b/>
                                <w:bCs/>
                                <w:sz w:val="20"/>
                              </w:rPr>
                              <w:t>-σ</w:t>
                            </w:r>
                            <w:r w:rsidR="00D76F43" w:rsidRPr="00C43319">
                              <w:rPr>
                                <w:b/>
                                <w:bCs/>
                                <w:sz w:val="20"/>
                              </w:rPr>
                              <w:br/>
                            </w:r>
                            <w:r w:rsidR="00D76F43">
                              <w:rPr>
                                <w:b/>
                                <w:bCs/>
                                <w:sz w:val="20"/>
                              </w:rPr>
                              <w:t>Parameter</w:t>
                            </w:r>
                          </w:p>
                          <w:p w:rsidR="00D76F43" w:rsidRPr="00C43319" w:rsidRDefault="00D76F43" w:rsidP="00D76F43">
                            <w:pPr>
                              <w:spacing w:after="0"/>
                              <w:jc w:val="center"/>
                              <w:rPr>
                                <w:b/>
                                <w:bCs/>
                                <w:sz w:val="20"/>
                              </w:rPr>
                            </w:pPr>
                            <w:r w:rsidRPr="00C43319">
                              <w:rPr>
                                <w:b/>
                                <w:bCs/>
                                <w:sz w:val="20"/>
                              </w:rPr>
                              <w:t>Uncty</w:t>
                            </w:r>
                          </w:p>
                        </w:tc>
                        <w:tc>
                          <w:tcPr>
                            <w:tcW w:w="1228" w:type="dxa"/>
                            <w:tcBorders>
                              <w:bottom w:val="single" w:sz="12" w:space="0" w:color="666666"/>
                            </w:tcBorders>
                            <w:shd w:val="clear" w:color="auto" w:fill="auto"/>
                            <w:noWrap/>
                            <w:hideMark/>
                          </w:tcPr>
                          <w:p w:rsidR="00D76F43" w:rsidRPr="00C43319" w:rsidRDefault="005D6E2B" w:rsidP="00D76F43">
                            <w:pPr>
                              <w:spacing w:after="0"/>
                              <w:jc w:val="center"/>
                              <w:rPr>
                                <w:b/>
                                <w:bCs/>
                                <w:sz w:val="20"/>
                              </w:rPr>
                            </w:pPr>
                            <w:r>
                              <w:rPr>
                                <w:b/>
                                <w:bCs/>
                                <w:sz w:val="20"/>
                              </w:rPr>
                              <w:t>1</w:t>
                            </w:r>
                            <w:r w:rsidR="00D76F43" w:rsidRPr="00C43319">
                              <w:rPr>
                                <w:b/>
                                <w:bCs/>
                                <w:sz w:val="20"/>
                              </w:rPr>
                              <w:t>-σ</w:t>
                            </w:r>
                            <w:r w:rsidR="00D76F43" w:rsidRPr="00C43319">
                              <w:rPr>
                                <w:b/>
                                <w:bCs/>
                                <w:sz w:val="20"/>
                              </w:rPr>
                              <w:br/>
                            </w:r>
                            <w:r w:rsidR="00D76F43">
                              <w:rPr>
                                <w:b/>
                                <w:bCs/>
                                <w:sz w:val="20"/>
                              </w:rPr>
                              <w:t>Radiometric</w:t>
                            </w:r>
                            <w:r w:rsidR="00D76F43">
                              <w:rPr>
                                <w:b/>
                                <w:bCs/>
                                <w:sz w:val="20"/>
                              </w:rPr>
                              <w:br/>
                            </w:r>
                            <w:r w:rsidR="00D76F43" w:rsidRPr="00C43319">
                              <w:rPr>
                                <w:b/>
                                <w:bCs/>
                                <w:sz w:val="20"/>
                              </w:rPr>
                              <w:t>Uncty (K)</w:t>
                            </w:r>
                          </w:p>
                        </w:tc>
                      </w:tr>
                      <w:tr w:rsidR="00D76F43" w:rsidRPr="00C43319" w:rsidTr="00D76F43">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Version</w:t>
                            </w:r>
                          </w:p>
                        </w:tc>
                        <w:tc>
                          <w:tcPr>
                            <w:tcW w:w="1096" w:type="dxa"/>
                            <w:shd w:val="clear" w:color="auto" w:fill="auto"/>
                            <w:noWrap/>
                            <w:hideMark/>
                          </w:tcPr>
                          <w:p w:rsidR="00D76F43" w:rsidRPr="00C43319" w:rsidRDefault="00D76F43" w:rsidP="00D76F43">
                            <w:pPr>
                              <w:spacing w:after="0"/>
                              <w:jc w:val="center"/>
                              <w:rPr>
                                <w:sz w:val="20"/>
                              </w:rPr>
                            </w:pPr>
                            <w:r w:rsidRPr="00C43319">
                              <w:rPr>
                                <w:sz w:val="20"/>
                              </w:rPr>
                              <w:t>V5</w:t>
                            </w:r>
                          </w:p>
                        </w:tc>
                        <w:tc>
                          <w:tcPr>
                            <w:tcW w:w="1228" w:type="dxa"/>
                            <w:shd w:val="clear" w:color="auto" w:fill="auto"/>
                            <w:noWrap/>
                            <w:hideMark/>
                          </w:tcPr>
                          <w:p w:rsidR="00D76F43" w:rsidRPr="00C43319" w:rsidRDefault="00D76F43" w:rsidP="00D76F43">
                            <w:pPr>
                              <w:spacing w:after="0"/>
                              <w:jc w:val="center"/>
                              <w:rPr>
                                <w:sz w:val="20"/>
                              </w:rPr>
                            </w:pPr>
                            <w:r w:rsidRPr="00C43319">
                              <w:rPr>
                                <w:sz w:val="20"/>
                              </w:rPr>
                              <w:t>V5</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LABB Temperature</w:t>
                            </w:r>
                          </w:p>
                        </w:tc>
                        <w:tc>
                          <w:tcPr>
                            <w:tcW w:w="1096" w:type="dxa"/>
                            <w:shd w:val="clear" w:color="auto" w:fill="auto"/>
                            <w:noWrap/>
                            <w:hideMark/>
                          </w:tcPr>
                          <w:p w:rsidR="00D76F43" w:rsidRPr="00C43319" w:rsidRDefault="00D76F43" w:rsidP="00D76F43">
                            <w:pPr>
                              <w:spacing w:after="0"/>
                              <w:jc w:val="center"/>
                              <w:rPr>
                                <w:sz w:val="20"/>
                              </w:rPr>
                            </w:pPr>
                            <w:r w:rsidRPr="00C43319">
                              <w:rPr>
                                <w:sz w:val="20"/>
                              </w:rPr>
                              <w:t>0.03K</w:t>
                            </w:r>
                          </w:p>
                        </w:tc>
                        <w:tc>
                          <w:tcPr>
                            <w:tcW w:w="1228" w:type="dxa"/>
                            <w:shd w:val="clear" w:color="auto" w:fill="auto"/>
                            <w:noWrap/>
                          </w:tcPr>
                          <w:p w:rsidR="00D76F43" w:rsidRPr="00C43319" w:rsidRDefault="00F1608D" w:rsidP="00D76F43">
                            <w:pPr>
                              <w:spacing w:after="0"/>
                              <w:jc w:val="center"/>
                              <w:rPr>
                                <w:sz w:val="20"/>
                              </w:rPr>
                            </w:pPr>
                            <w:r>
                              <w:rPr>
                                <w:sz w:val="20"/>
                              </w:rPr>
                              <w:t>0.03K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LABB Emissivity</w:t>
                            </w:r>
                          </w:p>
                        </w:tc>
                        <w:tc>
                          <w:tcPr>
                            <w:tcW w:w="1096" w:type="dxa"/>
                            <w:shd w:val="clear" w:color="auto" w:fill="auto"/>
                            <w:noWrap/>
                            <w:hideMark/>
                          </w:tcPr>
                          <w:p w:rsidR="00D76F43" w:rsidRPr="00C43319" w:rsidRDefault="00D76F43" w:rsidP="000434A5">
                            <w:pPr>
                              <w:spacing w:after="0"/>
                              <w:jc w:val="center"/>
                              <w:rPr>
                                <w:sz w:val="20"/>
                              </w:rPr>
                            </w:pPr>
                            <w:r w:rsidRPr="00C43319">
                              <w:rPr>
                                <w:sz w:val="20"/>
                              </w:rPr>
                              <w:t>0.000</w:t>
                            </w:r>
                            <w:r w:rsidR="000434A5">
                              <w:rPr>
                                <w:sz w:val="20"/>
                              </w:rPr>
                              <w:t>05</w:t>
                            </w:r>
                          </w:p>
                        </w:tc>
                        <w:tc>
                          <w:tcPr>
                            <w:tcW w:w="1228" w:type="dxa"/>
                            <w:shd w:val="clear" w:color="auto" w:fill="auto"/>
                            <w:noWrap/>
                          </w:tcPr>
                          <w:p w:rsidR="00D76F43" w:rsidRPr="00C43319" w:rsidRDefault="00F1608D" w:rsidP="00D76F43">
                            <w:pPr>
                              <w:spacing w:after="0"/>
                              <w:jc w:val="center"/>
                              <w:rPr>
                                <w:sz w:val="20"/>
                              </w:rPr>
                            </w:pPr>
                            <w:r>
                              <w:rPr>
                                <w:sz w:val="20"/>
                              </w:rPr>
                              <w:t>0.002K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Scan Mirror Temperature</w:t>
                            </w:r>
                          </w:p>
                        </w:tc>
                        <w:tc>
                          <w:tcPr>
                            <w:tcW w:w="1096" w:type="dxa"/>
                            <w:shd w:val="clear" w:color="auto" w:fill="auto"/>
                            <w:noWrap/>
                            <w:hideMark/>
                          </w:tcPr>
                          <w:p w:rsidR="00D76F43" w:rsidRPr="00C43319" w:rsidRDefault="005904D1" w:rsidP="00D76F43">
                            <w:pPr>
                              <w:spacing w:after="0"/>
                              <w:jc w:val="center"/>
                              <w:rPr>
                                <w:sz w:val="20"/>
                              </w:rPr>
                            </w:pPr>
                            <w:r>
                              <w:rPr>
                                <w:sz w:val="20"/>
                              </w:rPr>
                              <w:t>1.25</w:t>
                            </w:r>
                            <w:r w:rsidR="00D76F43" w:rsidRPr="00C43319">
                              <w:rPr>
                                <w:sz w:val="20"/>
                              </w:rPr>
                              <w:t>K</w:t>
                            </w:r>
                          </w:p>
                        </w:tc>
                        <w:tc>
                          <w:tcPr>
                            <w:tcW w:w="1228" w:type="dxa"/>
                            <w:shd w:val="clear" w:color="auto" w:fill="auto"/>
                            <w:noWrap/>
                          </w:tcPr>
                          <w:p w:rsidR="00D76F43" w:rsidRPr="00C43319" w:rsidRDefault="00F1608D" w:rsidP="00D76F43">
                            <w:pPr>
                              <w:spacing w:after="0"/>
                              <w:jc w:val="center"/>
                              <w:rPr>
                                <w:sz w:val="20"/>
                              </w:rPr>
                            </w:pPr>
                            <w:r>
                              <w:rPr>
                                <w:sz w:val="20"/>
                              </w:rPr>
                              <w:t>0.006K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Polarization Amplitude</w:t>
                            </w:r>
                          </w:p>
                        </w:tc>
                        <w:tc>
                          <w:tcPr>
                            <w:tcW w:w="1096" w:type="dxa"/>
                            <w:shd w:val="clear" w:color="auto" w:fill="auto"/>
                            <w:noWrap/>
                          </w:tcPr>
                          <w:p w:rsidR="00D76F43" w:rsidRPr="00C43319" w:rsidRDefault="005904D1" w:rsidP="00F1608D">
                            <w:pPr>
                              <w:spacing w:after="0"/>
                              <w:jc w:val="center"/>
                              <w:rPr>
                                <w:sz w:val="20"/>
                              </w:rPr>
                            </w:pPr>
                            <w:r>
                              <w:rPr>
                                <w:sz w:val="20"/>
                              </w:rPr>
                              <w:t>.0009</w:t>
                            </w:r>
                          </w:p>
                        </w:tc>
                        <w:tc>
                          <w:tcPr>
                            <w:tcW w:w="1228" w:type="dxa"/>
                            <w:shd w:val="clear" w:color="auto" w:fill="auto"/>
                            <w:noWrap/>
                          </w:tcPr>
                          <w:p w:rsidR="00D76F43" w:rsidRPr="00C43319" w:rsidRDefault="00F1608D" w:rsidP="00D76F43">
                            <w:pPr>
                              <w:spacing w:after="0"/>
                              <w:jc w:val="center"/>
                              <w:rPr>
                                <w:sz w:val="20"/>
                              </w:rPr>
                            </w:pPr>
                            <w:r>
                              <w:rPr>
                                <w:sz w:val="20"/>
                              </w:rPr>
                              <w:t>0.04K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Polarization Phase</w:t>
                            </w:r>
                          </w:p>
                        </w:tc>
                        <w:tc>
                          <w:tcPr>
                            <w:tcW w:w="1096" w:type="dxa"/>
                            <w:shd w:val="clear" w:color="auto" w:fill="auto"/>
                            <w:noWrap/>
                          </w:tcPr>
                          <w:p w:rsidR="00D76F43" w:rsidRPr="00C43319" w:rsidRDefault="005904D1" w:rsidP="00F1608D">
                            <w:pPr>
                              <w:spacing w:after="0"/>
                              <w:jc w:val="center"/>
                              <w:rPr>
                                <w:sz w:val="20"/>
                              </w:rPr>
                            </w:pPr>
                            <w:r>
                              <w:rPr>
                                <w:sz w:val="20"/>
                              </w:rPr>
                              <w:t>.08</w:t>
                            </w:r>
                          </w:p>
                        </w:tc>
                        <w:tc>
                          <w:tcPr>
                            <w:tcW w:w="1228" w:type="dxa"/>
                            <w:shd w:val="clear" w:color="auto" w:fill="auto"/>
                            <w:noWrap/>
                          </w:tcPr>
                          <w:p w:rsidR="00D76F43" w:rsidRPr="00C43319" w:rsidRDefault="00F1608D" w:rsidP="00D76F43">
                            <w:pPr>
                              <w:spacing w:after="0"/>
                              <w:jc w:val="center"/>
                              <w:rPr>
                                <w:sz w:val="20"/>
                              </w:rPr>
                            </w:pPr>
                            <w:r>
                              <w:rPr>
                                <w:sz w:val="20"/>
                              </w:rPr>
                              <w:t>0.005K</w:t>
                            </w:r>
                          </w:p>
                        </w:tc>
                      </w:tr>
                      <w:tr w:rsidR="00D76F43" w:rsidRPr="00C43319" w:rsidTr="00723E8A">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Emissivity</w:t>
                            </w:r>
                          </w:p>
                        </w:tc>
                        <w:tc>
                          <w:tcPr>
                            <w:tcW w:w="1096" w:type="dxa"/>
                            <w:shd w:val="clear" w:color="auto" w:fill="auto"/>
                            <w:noWrap/>
                          </w:tcPr>
                          <w:p w:rsidR="00D76F43" w:rsidRPr="00C43319" w:rsidRDefault="005904D1" w:rsidP="00F1608D">
                            <w:pPr>
                              <w:spacing w:after="0"/>
                              <w:jc w:val="center"/>
                              <w:rPr>
                                <w:sz w:val="20"/>
                              </w:rPr>
                            </w:pPr>
                            <w:r>
                              <w:rPr>
                                <w:sz w:val="20"/>
                              </w:rPr>
                              <w:t>.00</w:t>
                            </w:r>
                            <w:r w:rsidR="00F1608D">
                              <w:rPr>
                                <w:sz w:val="20"/>
                              </w:rPr>
                              <w:t>2</w:t>
                            </w:r>
                          </w:p>
                        </w:tc>
                        <w:tc>
                          <w:tcPr>
                            <w:tcW w:w="1228" w:type="dxa"/>
                            <w:shd w:val="clear" w:color="auto" w:fill="auto"/>
                            <w:noWrap/>
                          </w:tcPr>
                          <w:p w:rsidR="00D76F43" w:rsidRPr="00C43319" w:rsidRDefault="00F1608D" w:rsidP="00D76F43">
                            <w:pPr>
                              <w:spacing w:after="0"/>
                              <w:jc w:val="center"/>
                              <w:rPr>
                                <w:sz w:val="20"/>
                              </w:rPr>
                            </w:pPr>
                            <w:r>
                              <w:rPr>
                                <w:sz w:val="20"/>
                              </w:rPr>
                              <w:t>0.07K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Emissivity (EOL)</w:t>
                            </w:r>
                          </w:p>
                        </w:tc>
                        <w:tc>
                          <w:tcPr>
                            <w:tcW w:w="1096" w:type="dxa"/>
                            <w:shd w:val="clear" w:color="auto" w:fill="auto"/>
                            <w:noWrap/>
                            <w:hideMark/>
                          </w:tcPr>
                          <w:p w:rsidR="00D76F43" w:rsidRPr="00C43319" w:rsidRDefault="00D76F43" w:rsidP="00723E8A">
                            <w:pPr>
                              <w:spacing w:after="0"/>
                              <w:jc w:val="center"/>
                              <w:rPr>
                                <w:sz w:val="20"/>
                              </w:rPr>
                            </w:pPr>
                            <w:r w:rsidRPr="00C43319">
                              <w:rPr>
                                <w:sz w:val="20"/>
                              </w:rPr>
                              <w:t>0.000</w:t>
                            </w:r>
                            <w:r w:rsidR="00723E8A">
                              <w:rPr>
                                <w:sz w:val="20"/>
                              </w:rPr>
                              <w:t>1</w:t>
                            </w:r>
                          </w:p>
                        </w:tc>
                        <w:tc>
                          <w:tcPr>
                            <w:tcW w:w="1228" w:type="dxa"/>
                            <w:shd w:val="clear" w:color="auto" w:fill="auto"/>
                            <w:noWrap/>
                          </w:tcPr>
                          <w:p w:rsidR="00D76F43" w:rsidRPr="00C43319" w:rsidRDefault="00F1608D" w:rsidP="00D76F43">
                            <w:pPr>
                              <w:spacing w:after="0"/>
                              <w:jc w:val="center"/>
                              <w:rPr>
                                <w:sz w:val="20"/>
                              </w:rPr>
                            </w:pPr>
                            <w:r>
                              <w:rPr>
                                <w:sz w:val="20"/>
                              </w:rPr>
                              <w:t>0.004K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OBC Blackbody Temperature</w:t>
                            </w:r>
                          </w:p>
                        </w:tc>
                        <w:tc>
                          <w:tcPr>
                            <w:tcW w:w="1096" w:type="dxa"/>
                            <w:shd w:val="clear" w:color="auto" w:fill="auto"/>
                            <w:noWrap/>
                            <w:hideMark/>
                          </w:tcPr>
                          <w:p w:rsidR="00D76F43" w:rsidRPr="00F1608D" w:rsidRDefault="00D76F43" w:rsidP="00D76F43">
                            <w:pPr>
                              <w:spacing w:after="0"/>
                              <w:jc w:val="center"/>
                              <w:rPr>
                                <w:color w:val="auto"/>
                                <w:sz w:val="20"/>
                              </w:rPr>
                            </w:pPr>
                            <w:r w:rsidRPr="00F1608D">
                              <w:rPr>
                                <w:color w:val="auto"/>
                                <w:sz w:val="20"/>
                              </w:rPr>
                              <w:t>0.05K</w:t>
                            </w:r>
                          </w:p>
                        </w:tc>
                        <w:tc>
                          <w:tcPr>
                            <w:tcW w:w="1228" w:type="dxa"/>
                            <w:shd w:val="clear" w:color="auto" w:fill="auto"/>
                            <w:noWrap/>
                          </w:tcPr>
                          <w:p w:rsidR="00D76F43" w:rsidRPr="00C43319" w:rsidRDefault="00F1608D" w:rsidP="00D76F43">
                            <w:pPr>
                              <w:spacing w:after="0"/>
                              <w:jc w:val="center"/>
                              <w:rPr>
                                <w:sz w:val="20"/>
                              </w:rPr>
                            </w:pPr>
                            <w:r>
                              <w:rPr>
                                <w:sz w:val="20"/>
                              </w:rPr>
                              <w:t>.04K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Nonlinearity</w:t>
                            </w:r>
                          </w:p>
                        </w:tc>
                        <w:tc>
                          <w:tcPr>
                            <w:tcW w:w="1096" w:type="dxa"/>
                            <w:shd w:val="clear" w:color="auto" w:fill="auto"/>
                            <w:noWrap/>
                            <w:hideMark/>
                          </w:tcPr>
                          <w:p w:rsidR="00D76F43" w:rsidRPr="00F1608D" w:rsidRDefault="000A2CB5" w:rsidP="00F1608D">
                            <w:pPr>
                              <w:spacing w:after="0"/>
                              <w:jc w:val="center"/>
                              <w:rPr>
                                <w:color w:val="auto"/>
                                <w:sz w:val="20"/>
                              </w:rPr>
                            </w:pPr>
                            <w:r w:rsidRPr="00F1608D">
                              <w:rPr>
                                <w:color w:val="auto"/>
                                <w:sz w:val="20"/>
                              </w:rPr>
                              <w:t>2.</w:t>
                            </w:r>
                            <w:r w:rsidR="00F1608D" w:rsidRPr="00F1608D">
                              <w:rPr>
                                <w:color w:val="auto"/>
                                <w:sz w:val="20"/>
                              </w:rPr>
                              <w:t>7</w:t>
                            </w:r>
                            <w:r w:rsidR="00D76F43" w:rsidRPr="00F1608D">
                              <w:rPr>
                                <w:color w:val="auto"/>
                                <w:sz w:val="20"/>
                              </w:rPr>
                              <w:t>%*</w:t>
                            </w:r>
                          </w:p>
                        </w:tc>
                        <w:tc>
                          <w:tcPr>
                            <w:tcW w:w="1228" w:type="dxa"/>
                            <w:shd w:val="clear" w:color="auto" w:fill="auto"/>
                            <w:noWrap/>
                          </w:tcPr>
                          <w:p w:rsidR="00D76F43" w:rsidRPr="00C43319" w:rsidRDefault="00F1608D" w:rsidP="00D76F43">
                            <w:pPr>
                              <w:spacing w:after="0"/>
                              <w:jc w:val="center"/>
                              <w:rPr>
                                <w:sz w:val="20"/>
                              </w:rPr>
                            </w:pPr>
                            <w:r>
                              <w:rPr>
                                <w:sz w:val="20"/>
                              </w:rPr>
                              <w:t>0.21K</w:t>
                            </w:r>
                          </w:p>
                        </w:tc>
                      </w:tr>
                      <w:tr w:rsidR="00D76F43" w:rsidRPr="00C43319" w:rsidTr="005D6E2B">
                        <w:trPr>
                          <w:trHeight w:val="288"/>
                          <w:jc w:val="center"/>
                        </w:trPr>
                        <w:tc>
                          <w:tcPr>
                            <w:tcW w:w="4495" w:type="dxa"/>
                            <w:shd w:val="clear" w:color="auto" w:fill="auto"/>
                            <w:noWrap/>
                            <w:hideMark/>
                          </w:tcPr>
                          <w:p w:rsidR="00D76F43" w:rsidRPr="00C43319" w:rsidRDefault="00D76F43" w:rsidP="00D76F43">
                            <w:pPr>
                              <w:spacing w:after="0"/>
                              <w:rPr>
                                <w:b/>
                                <w:bCs/>
                                <w:sz w:val="20"/>
                              </w:rPr>
                            </w:pPr>
                            <w:r w:rsidRPr="00C43319">
                              <w:rPr>
                                <w:b/>
                                <w:bCs/>
                                <w:sz w:val="20"/>
                              </w:rPr>
                              <w:t>Uncertainty in drift in space view</w:t>
                            </w:r>
                          </w:p>
                        </w:tc>
                        <w:tc>
                          <w:tcPr>
                            <w:tcW w:w="1096" w:type="dxa"/>
                            <w:shd w:val="clear" w:color="auto" w:fill="auto"/>
                            <w:noWrap/>
                            <w:hideMark/>
                          </w:tcPr>
                          <w:p w:rsidR="00D76F43" w:rsidRPr="00F1608D" w:rsidRDefault="00D76F43" w:rsidP="000A2CB5">
                            <w:pPr>
                              <w:spacing w:after="0"/>
                              <w:jc w:val="center"/>
                              <w:rPr>
                                <w:color w:val="auto"/>
                                <w:sz w:val="20"/>
                              </w:rPr>
                            </w:pPr>
                            <w:r w:rsidRPr="00F1608D">
                              <w:rPr>
                                <w:color w:val="auto"/>
                                <w:sz w:val="20"/>
                              </w:rPr>
                              <w:t>0.0</w:t>
                            </w:r>
                            <w:r w:rsidR="000A2CB5" w:rsidRPr="00F1608D">
                              <w:rPr>
                                <w:color w:val="auto"/>
                                <w:sz w:val="20"/>
                              </w:rPr>
                              <w:t>4</w:t>
                            </w:r>
                            <w:r w:rsidRPr="00F1608D">
                              <w:rPr>
                                <w:color w:val="auto"/>
                                <w:sz w:val="20"/>
                              </w:rPr>
                              <w:t>dn</w:t>
                            </w:r>
                          </w:p>
                        </w:tc>
                        <w:tc>
                          <w:tcPr>
                            <w:tcW w:w="1228" w:type="dxa"/>
                            <w:shd w:val="clear" w:color="auto" w:fill="auto"/>
                            <w:noWrap/>
                          </w:tcPr>
                          <w:p w:rsidR="00D76F43" w:rsidRPr="00C43319" w:rsidRDefault="00F1608D" w:rsidP="00D76F43">
                            <w:pPr>
                              <w:spacing w:after="0"/>
                              <w:jc w:val="center"/>
                              <w:rPr>
                                <w:sz w:val="20"/>
                              </w:rPr>
                            </w:pPr>
                            <w:r>
                              <w:rPr>
                                <w:sz w:val="20"/>
                              </w:rPr>
                              <w:t>0.001K</w:t>
                            </w:r>
                          </w:p>
                        </w:tc>
                      </w:tr>
                      <w:tr w:rsidR="00D76F43" w:rsidRPr="00C43319" w:rsidTr="005D6E2B">
                        <w:trPr>
                          <w:trHeight w:val="288"/>
                          <w:jc w:val="center"/>
                        </w:trPr>
                        <w:tc>
                          <w:tcPr>
                            <w:tcW w:w="4495" w:type="dxa"/>
                            <w:shd w:val="clear" w:color="auto" w:fill="auto"/>
                            <w:noWrap/>
                            <w:hideMark/>
                          </w:tcPr>
                          <w:p w:rsidR="00D76F43" w:rsidRPr="00C43319" w:rsidRDefault="00D76F43" w:rsidP="00F1608D">
                            <w:pPr>
                              <w:spacing w:after="0"/>
                              <w:rPr>
                                <w:b/>
                                <w:bCs/>
                                <w:sz w:val="20"/>
                              </w:rPr>
                            </w:pPr>
                            <w:r w:rsidRPr="00C43319">
                              <w:rPr>
                                <w:b/>
                                <w:bCs/>
                                <w:sz w:val="20"/>
                              </w:rPr>
                              <w:t xml:space="preserve">Total Uncertainty </w:t>
                            </w:r>
                            <w:r>
                              <w:rPr>
                                <w:b/>
                                <w:bCs/>
                                <w:sz w:val="20"/>
                              </w:rPr>
                              <w:t>at 2</w:t>
                            </w:r>
                            <w:r w:rsidR="00F1608D">
                              <w:rPr>
                                <w:b/>
                                <w:bCs/>
                                <w:sz w:val="20"/>
                              </w:rPr>
                              <w:t>6</w:t>
                            </w:r>
                            <w:r>
                              <w:rPr>
                                <w:b/>
                                <w:bCs/>
                                <w:sz w:val="20"/>
                              </w:rPr>
                              <w:t>0K</w:t>
                            </w:r>
                          </w:p>
                        </w:tc>
                        <w:tc>
                          <w:tcPr>
                            <w:tcW w:w="1096" w:type="dxa"/>
                            <w:shd w:val="clear" w:color="auto" w:fill="auto"/>
                            <w:noWrap/>
                            <w:hideMark/>
                          </w:tcPr>
                          <w:p w:rsidR="00D76F43" w:rsidRPr="00C43319" w:rsidRDefault="00D76F43" w:rsidP="00D76F43">
                            <w:pPr>
                              <w:spacing w:after="0"/>
                              <w:jc w:val="center"/>
                              <w:rPr>
                                <w:sz w:val="20"/>
                              </w:rPr>
                            </w:pPr>
                          </w:p>
                        </w:tc>
                        <w:tc>
                          <w:tcPr>
                            <w:tcW w:w="1228" w:type="dxa"/>
                            <w:shd w:val="clear" w:color="auto" w:fill="auto"/>
                            <w:noWrap/>
                          </w:tcPr>
                          <w:p w:rsidR="00D76F43" w:rsidRPr="00C43319" w:rsidRDefault="00F1608D" w:rsidP="00D76F43">
                            <w:pPr>
                              <w:spacing w:after="0"/>
                              <w:jc w:val="center"/>
                              <w:rPr>
                                <w:sz w:val="20"/>
                              </w:rPr>
                            </w:pPr>
                            <w:r>
                              <w:rPr>
                                <w:sz w:val="20"/>
                              </w:rPr>
                              <w:t>0.24K</w:t>
                            </w:r>
                          </w:p>
                        </w:tc>
                      </w:tr>
                    </w:tbl>
                    <w:p w:rsidR="00D76F43" w:rsidRPr="00E13C12" w:rsidRDefault="00D76F43" w:rsidP="00D76F43">
                      <w:pPr>
                        <w:rPr>
                          <w:sz w:val="18"/>
                          <w:szCs w:val="18"/>
                          <w:vertAlign w:val="subscript"/>
                        </w:rPr>
                      </w:pPr>
                      <w:r w:rsidRPr="00E13C12">
                        <w:rPr>
                          <w:sz w:val="18"/>
                          <w:szCs w:val="18"/>
                        </w:rPr>
                        <w:t>*Expressed as a percentage of the radiance at L</w:t>
                      </w:r>
                      <w:r w:rsidRPr="00E13C12">
                        <w:rPr>
                          <w:sz w:val="18"/>
                          <w:szCs w:val="18"/>
                          <w:vertAlign w:val="subscript"/>
                        </w:rPr>
                        <w:t>sat</w:t>
                      </w:r>
                    </w:p>
                  </w:txbxContent>
                </v:textbox>
                <w10:wrap type="square" anchorx="margin"/>
              </v:shape>
            </w:pict>
          </mc:Fallback>
        </mc:AlternateContent>
      </w:r>
    </w:p>
    <w:p w:rsidR="005D6E2B" w:rsidRDefault="005D6E2B" w:rsidP="007427BC">
      <w:pPr>
        <w:pStyle w:val="Heading4"/>
      </w:pPr>
      <w:bookmarkStart w:id="2" w:name="_3993mniguc9e"/>
      <w:bookmarkStart w:id="3" w:name="_Toc256000018"/>
      <w:bookmarkEnd w:id="2"/>
      <w:r>
        <w:t>Scan Mirror Temperature and Angle</w:t>
      </w:r>
    </w:p>
    <w:p w:rsidR="005D6E2B" w:rsidRPr="005D6E2B" w:rsidRDefault="005D6E2B" w:rsidP="005D6E2B">
      <w:r w:rsidRPr="00365E35">
        <w:t xml:space="preserve">The AIRS scan mirror temperature is monitored using a non-contacting temperature sensor located at the base of the rotating shaft.  The uncertainty in the scan mirror temperature is estimated to be </w:t>
      </w:r>
      <w:r w:rsidR="008A1F55">
        <w:t>about</w:t>
      </w:r>
      <w:r w:rsidRPr="00365E35">
        <w:t xml:space="preserve"> 0.5K</w:t>
      </w:r>
      <w:r w:rsidR="00E50BD0">
        <w:t xml:space="preserve"> 1-sigma</w:t>
      </w:r>
      <w:r w:rsidRPr="00365E35">
        <w:t xml:space="preserve"> by design</w:t>
      </w:r>
      <w:r w:rsidR="00E50BD0">
        <w:t xml:space="preserve">, although in-flight analysis shows this number could be off by as much as </w:t>
      </w:r>
      <w:r w:rsidR="0093014D">
        <w:t>2.5K.  We carry 1.25K 1-sigma to allow for this uncertainty</w:t>
      </w:r>
      <w:r w:rsidR="00E50BD0">
        <w:t>.</w:t>
      </w:r>
      <w:r w:rsidRPr="00365E35">
        <w:t xml:space="preserve">  </w:t>
      </w:r>
      <w:r>
        <w:t>The radiometric uncertainty analysis assumes a nominal scan angle of 0°.  The scan mirror angle uncertainty is 1 part in 2</w:t>
      </w:r>
      <w:r>
        <w:rPr>
          <w:vertAlign w:val="superscript"/>
        </w:rPr>
        <w:t>16</w:t>
      </w:r>
      <w:r>
        <w:t xml:space="preserve"> due to the encoder and its contribution to the radiometric uncertainty is negligible.</w:t>
      </w:r>
    </w:p>
    <w:p w:rsidR="005D6E2B" w:rsidRDefault="005D6E2B" w:rsidP="007427BC">
      <w:pPr>
        <w:pStyle w:val="Heading4"/>
      </w:pPr>
      <w:bookmarkStart w:id="4" w:name="_Toc256000021"/>
      <w:r>
        <w:t>Mirror reflectivity - including any polari</w:t>
      </w:r>
      <w:r w:rsidR="00723E8A">
        <w:t>z</w:t>
      </w:r>
      <w:r>
        <w:t>ation effect</w:t>
      </w:r>
      <w:bookmarkEnd w:id="4"/>
    </w:p>
    <w:p w:rsidR="005D6E2B" w:rsidRDefault="005D6E2B" w:rsidP="005D6E2B">
      <w:r>
        <w:t>As reflected in the calibration equations, the AIRS experiences a coupling between the polarization of the scan mirror and the polarization of the spectrometer (dominated by the grating).  The coupling modulates the scene radiance slightly (see equation 1), but also leaves a residual error due to the mirror emission that is different when looking in the space view than it is in the Earth view and OBC blackbody view (see equation 2).  The correction requires good knowledge of the product of the polarization factor of the scan mirror (p</w:t>
      </w:r>
      <w:r w:rsidRPr="005D6E2B">
        <w:rPr>
          <w:vertAlign w:val="subscript"/>
        </w:rPr>
        <w:t>r</w:t>
      </w:r>
      <w:r>
        <w:t>) and the spectrometer (p</w:t>
      </w:r>
      <w:r w:rsidRPr="005D6E2B">
        <w:rPr>
          <w:vertAlign w:val="subscript"/>
        </w:rPr>
        <w:t>t</w:t>
      </w:r>
      <w:r>
        <w:t>) and the phase angle between them (δ).</w:t>
      </w:r>
    </w:p>
    <w:p w:rsidR="005D6E2B" w:rsidRPr="005D6E2B" w:rsidRDefault="005D6E2B" w:rsidP="005D6E2B">
      <w:r>
        <w:t xml:space="preserve">For Version 5, we had individual measurements of the polarization of the scan mirror and completed spectrometer as well as a model that computed the polarization from measurements at the component level.  The two models agreed well, except in the longest wavelengths.  The approach taken for V5 was to average the measured and component results leaving the </w:t>
      </w:r>
      <w:r w:rsidR="00723E8A">
        <w:t xml:space="preserve">1-sigma </w:t>
      </w:r>
      <w:r>
        <w:t xml:space="preserve">uncertainty as the difference between the two divided by the square root of 2.  The phase in V5 was assumed to be zero.  We know now that not to be the case, so we carry our current estimate for the uncertainty of the phase from V5 </w:t>
      </w:r>
      <w:r w:rsidR="00723E8A">
        <w:t xml:space="preserve">divided by the square root of 2 </w:t>
      </w:r>
      <w:r>
        <w:t xml:space="preserve">as the </w:t>
      </w:r>
      <w:r w:rsidR="00723E8A">
        <w:t xml:space="preserve">1-sigma </w:t>
      </w:r>
      <w:r>
        <w:t>magnitude of the phase we computed for V7k.</w:t>
      </w:r>
    </w:p>
    <w:p w:rsidR="00902730" w:rsidRDefault="00902730" w:rsidP="007427BC">
      <w:pPr>
        <w:pStyle w:val="Heading4"/>
      </w:pPr>
      <w:r>
        <w:lastRenderedPageBreak/>
        <w:t>Black body emissivity</w:t>
      </w:r>
      <w:bookmarkEnd w:id="3"/>
      <w:r w:rsidR="00723E8A">
        <w:t xml:space="preserve"> and temperature</w:t>
      </w:r>
    </w:p>
    <w:p w:rsidR="00902730" w:rsidRDefault="00723E8A" w:rsidP="00ED10C3">
      <w:bookmarkStart w:id="5" w:name="_qeo6au7et3dx"/>
      <w:bookmarkStart w:id="6" w:name="_Toc256000019"/>
      <w:bookmarkEnd w:id="5"/>
      <w:r w:rsidRPr="00723E8A">
        <w:t>The effective blackbody emissivity is computed by fitting the LABB linearity data preflight and</w:t>
      </w:r>
      <w:r>
        <w:t xml:space="preserve"> solving for the coefficients c</w:t>
      </w:r>
      <w:r>
        <w:rPr>
          <w:vertAlign w:val="subscript"/>
        </w:rPr>
        <w:t>i</w:t>
      </w:r>
      <w:r w:rsidRPr="00723E8A">
        <w:t xml:space="preserve">.  The coefficients are then used in equation 3 to solve for the emissivity.  The process is performed on 4 tests obtained preflight: A side electronics, B side electronics for the LABB at nadir and at 40°.  The data showed high emissivity but no consistency between the A side, B side, nadir or 40°.  The uncertainty is </w:t>
      </w:r>
      <w:r>
        <w:t>the</w:t>
      </w:r>
      <w:r w:rsidRPr="00723E8A">
        <w:t xml:space="preserve"> standard deviation of the emissivity over the 4 te</w:t>
      </w:r>
      <w:r>
        <w:t>sts calculated for each channel.  The</w:t>
      </w:r>
      <w:r w:rsidRPr="00723E8A">
        <w:t xml:space="preserve"> uncertainty </w:t>
      </w:r>
      <w:r>
        <w:t xml:space="preserve">calculated this way </w:t>
      </w:r>
      <w:r w:rsidRPr="00723E8A">
        <w:t xml:space="preserve">is less than 0.002 for all cases and is consistent with the </w:t>
      </w:r>
      <w:r>
        <w:t xml:space="preserve">theoretical </w:t>
      </w:r>
      <w:r w:rsidRPr="00723E8A">
        <w:t>emissivity of the OBC blackbody of 0.9985.   The estimated degradation at end of life from our prior analysis is also included in the current radiometric uncertainty estimate and is estimated to be 0.000</w:t>
      </w:r>
      <w:r>
        <w:t>1 1-sigma</w:t>
      </w:r>
      <w:r w:rsidRPr="00723E8A">
        <w:t>.  Temperature uncertainty of the OBC is estimated to be &lt;0.05K 1-sigma based on knowledge of the temperature sensor calibration.</w:t>
      </w:r>
      <w:bookmarkEnd w:id="6"/>
    </w:p>
    <w:p w:rsidR="00902730" w:rsidRDefault="00902730" w:rsidP="007427BC">
      <w:pPr>
        <w:pStyle w:val="Heading4"/>
      </w:pPr>
      <w:bookmarkStart w:id="7" w:name="_x0by3cz0axyu"/>
      <w:bookmarkStart w:id="8" w:name="_Toc256000020"/>
      <w:bookmarkEnd w:id="7"/>
      <w:r>
        <w:t>Non-</w:t>
      </w:r>
      <w:r w:rsidRPr="007427BC">
        <w:t>linearity</w:t>
      </w:r>
      <w:bookmarkEnd w:id="8"/>
    </w:p>
    <w:p w:rsidR="00902730" w:rsidRDefault="0093014D" w:rsidP="00ED10C3">
      <w:bookmarkStart w:id="9" w:name="_5xix2axa7yaw"/>
      <w:bookmarkStart w:id="10" w:name="_Toc256000022"/>
      <w:bookmarkEnd w:id="9"/>
      <w:r w:rsidRPr="0093014D">
        <w:t xml:space="preserve">Nonlinearity is computed by fitting the LABB linearity data preflight to a second order polynomial.  The nonlinearity was computed for the four test mentioned in the prior section.  The uncertainty </w:t>
      </w:r>
      <w:r>
        <w:t>for each side</w:t>
      </w:r>
      <w:r w:rsidRPr="0093014D">
        <w:t xml:space="preserve"> is the difference between the standard deviation of </w:t>
      </w:r>
      <w:r>
        <w:t xml:space="preserve">the </w:t>
      </w:r>
      <w:r w:rsidRPr="0093014D">
        <w:t>nad</w:t>
      </w:r>
      <w:r>
        <w:t>ir and 40° data.</w:t>
      </w:r>
      <w:r w:rsidRPr="0093014D">
        <w:t xml:space="preserve">  For V5, </w:t>
      </w:r>
      <w:r>
        <w:t xml:space="preserve">only a single coefficient is used for the A and B sides, so the </w:t>
      </w:r>
      <w:r w:rsidRPr="0093014D">
        <w:t xml:space="preserve">the nonlinearity </w:t>
      </w:r>
      <w:r>
        <w:t>uncertainty is taken as the average</w:t>
      </w:r>
      <w:r w:rsidRPr="0093014D">
        <w:t xml:space="preserve"> over both A side and B sides</w:t>
      </w:r>
      <w:r>
        <w:t xml:space="preserve"> RSS’d with the difference between A and B coefficients.</w:t>
      </w:r>
      <w:bookmarkEnd w:id="10"/>
    </w:p>
    <w:p w:rsidR="005904D1" w:rsidRDefault="005904D1" w:rsidP="007427BC">
      <w:pPr>
        <w:pStyle w:val="Heading4"/>
      </w:pPr>
      <w:bookmarkStart w:id="11" w:name="_Toc256000024"/>
      <w:r>
        <w:t>Drift in the Space View</w:t>
      </w:r>
    </w:p>
    <w:p w:rsidR="005904D1" w:rsidRPr="005904D1" w:rsidRDefault="005904D1" w:rsidP="005904D1">
      <w:r w:rsidRPr="005904D1">
        <w:t xml:space="preserve">Since the AIRS instrument calibrates once per scan line, we must consider the drift of the offset between calibrations.  A measure of this drift was made during the space view noise special test performed pre-launch and in orbit.  The drift is calculated as the space view counts at the end of the period (over 600 scans) minus the counts at the start divided by the number of scans in the test period.  </w:t>
      </w:r>
      <w:r w:rsidR="008B0066">
        <w:t>D</w:t>
      </w:r>
      <w:r w:rsidRPr="005904D1">
        <w:t xml:space="preserve">rift counts </w:t>
      </w:r>
      <w:r w:rsidR="008B0066">
        <w:t>can be as high as</w:t>
      </w:r>
      <w:r w:rsidRPr="005904D1">
        <w:t xml:space="preserve"> 0.2-0.6 dn</w:t>
      </w:r>
      <w:r w:rsidR="008B0066">
        <w:t>, but usually is not a big contributor</w:t>
      </w:r>
      <w:r w:rsidRPr="005904D1">
        <w:t xml:space="preserve">.  </w:t>
      </w:r>
      <w:r w:rsidR="000A2CB5">
        <w:t>Half the measured</w:t>
      </w:r>
      <w:r w:rsidRPr="005904D1">
        <w:t xml:space="preserve"> drift is converted to a radiometric temperature error using the instrument nominal gain.</w:t>
      </w:r>
    </w:p>
    <w:p w:rsidR="007427BC" w:rsidRDefault="007427BC" w:rsidP="007427BC">
      <w:pPr>
        <w:pStyle w:val="Heading4"/>
      </w:pPr>
      <w:r>
        <w:t>Pre-launch Validation Tests with external black body</w:t>
      </w:r>
      <w:bookmarkEnd w:id="11"/>
    </w:p>
    <w:p w:rsidR="007427BC" w:rsidRDefault="007427BC" w:rsidP="007427BC">
      <w:r>
        <w:t>The Large Area Blackbody (LABB) is a wedge cavity design used as a warm target during pre-flight testing.  The LABB contributes to the overall AIRS accuracy.  The LABB is coated with Aeroglaze Z-302 and the emissivity is estimated to be better than 0.9999.  We use 0.00005 1-sigma for the uncertainty in the analysis.  The requirement flowed down to the manufacturer (Bomem) in 1996 was a temperature knowledge of 30mK 1-sigma and is achieved for most scene temperatures.  The LAB</w:t>
      </w:r>
      <w:r w:rsidR="00140CFA">
        <w:t>B uses NIST traceable 162D PRTs</w:t>
      </w:r>
      <w:r>
        <w:t xml:space="preserve"> manufactured by Rosemount Aerospace with serial numbers #4218 &amp; #4219.  </w:t>
      </w:r>
    </w:p>
    <w:p w:rsidR="00357FF9" w:rsidRDefault="007427BC" w:rsidP="007427BC">
      <w:r>
        <w:t xml:space="preserve">The Space View Blackbody (SVBB) is of similar construction to the LABB with similar emissivity (0.9999) and </w:t>
      </w:r>
      <w:r w:rsidR="00140CFA">
        <w:t xml:space="preserve">somewhat larger </w:t>
      </w:r>
      <w:r>
        <w:t xml:space="preserve">temperature </w:t>
      </w:r>
      <w:r w:rsidR="00140CFA">
        <w:t>uncertainty</w:t>
      </w:r>
      <w:r>
        <w:t xml:space="preserve">.  Since the SVBB operates at liquid nitrogen temperatures its contribution to the radiometric uncertainty of emissivity and nonlinearity </w:t>
      </w:r>
      <w:r w:rsidR="00140CFA">
        <w:t>should be small and is ignored in the analysis</w:t>
      </w:r>
      <w:r>
        <w:t>.</w:t>
      </w:r>
    </w:p>
    <w:p w:rsidR="007422B6" w:rsidRDefault="007422B6" w:rsidP="007427BC">
      <w:r>
        <w:t>The following factors do not contribute to the radiometric uncertainties stated above.</w:t>
      </w:r>
    </w:p>
    <w:p w:rsidR="0093014D" w:rsidRDefault="0093014D" w:rsidP="007427BC">
      <w:pPr>
        <w:pStyle w:val="Heading4"/>
      </w:pPr>
      <w:r>
        <w:t>Radiometric noise (including calibration data)</w:t>
      </w:r>
    </w:p>
    <w:p w:rsidR="00357FF9" w:rsidRPr="00357FF9" w:rsidRDefault="00357FF9" w:rsidP="00357FF9">
      <w:r>
        <w:t xml:space="preserve">Noise is not included in the radiometric uncertainty estimate as it averages to zero bias over time.  Individual samples must consider the noise.  Radiometric sensitivity is expressed as the Noise Equivalent Temperature Difference (NEdT) for a scene temperature of 250K.  The NEdT for AIRS are measured by </w:t>
      </w:r>
      <w:r>
        <w:lastRenderedPageBreak/>
        <w:t>interpolating the noise while viewing cold space and the OBC at 308K.  The NEdTs for AIRS are shown in Figure 7 pre-flight and in-orbit</w:t>
      </w:r>
      <w:r w:rsidR="004E3CB0">
        <w:rPr>
          <w:rStyle w:val="EndnoteReference"/>
        </w:rPr>
        <w:endnoteReference w:id="3"/>
      </w:r>
      <w:r>
        <w:t xml:space="preserve">.  Additional noise characterization is performed by locking the AIRS scan mirror the calibration target for nominally 20 minutes while data are collected.  Figure 8 shows the ratio of the uncorrelated noise to the correlated noise.  Both random and correlated noise are not included in the radiometric accuracy estimates, but should be considered when using AIRS data for scientific </w:t>
      </w:r>
      <w:r w:rsidR="00CC5305">
        <w:rPr>
          <w:noProof/>
        </w:rPr>
        <mc:AlternateContent>
          <mc:Choice Requires="wps">
            <w:drawing>
              <wp:anchor distT="0" distB="0" distL="0" distR="0" simplePos="0" relativeHeight="251662336" behindDoc="0" locked="0" layoutInCell="1" allowOverlap="1">
                <wp:simplePos x="0" y="0"/>
                <wp:positionH relativeFrom="margin">
                  <wp:posOffset>55929</wp:posOffset>
                </wp:positionH>
                <wp:positionV relativeFrom="margin">
                  <wp:posOffset>392967</wp:posOffset>
                </wp:positionV>
                <wp:extent cx="3186430" cy="27851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78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FF9" w:rsidRDefault="00357FF9" w:rsidP="00357FF9">
                            <w:r>
                              <w:rPr>
                                <w:noProof/>
                              </w:rPr>
                              <w:drawing>
                                <wp:inline distT="0" distB="0" distL="0" distR="0">
                                  <wp:extent cx="3179445" cy="2370455"/>
                                  <wp:effectExtent l="0" t="0" r="1905" b="0"/>
                                  <wp:docPr id="8" name="Picture 8" descr="304_35_ned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4_35_nedts"/>
                                          <pic:cNvPicPr>
                                            <a:picLocks noChangeAspect="1" noChangeArrowheads="1"/>
                                          </pic:cNvPicPr>
                                        </pic:nvPicPr>
                                        <pic:blipFill>
                                          <a:blip r:embed="rId13">
                                            <a:extLst>
                                              <a:ext uri="{28A0092B-C50C-407E-A947-70E740481C1C}">
                                                <a14:useLocalDpi xmlns:a14="http://schemas.microsoft.com/office/drawing/2010/main" val="0"/>
                                              </a:ext>
                                            </a:extLst>
                                          </a:blip>
                                          <a:srcRect l="7840" t="1492" r="7471" b="4048"/>
                                          <a:stretch>
                                            <a:fillRect/>
                                          </a:stretch>
                                        </pic:blipFill>
                                        <pic:spPr bwMode="auto">
                                          <a:xfrm>
                                            <a:off x="0" y="0"/>
                                            <a:ext cx="3179445" cy="2370455"/>
                                          </a:xfrm>
                                          <a:prstGeom prst="rect">
                                            <a:avLst/>
                                          </a:prstGeom>
                                          <a:noFill/>
                                          <a:ln>
                                            <a:noFill/>
                                          </a:ln>
                                        </pic:spPr>
                                      </pic:pic>
                                    </a:graphicData>
                                  </a:graphic>
                                </wp:inline>
                              </w:drawing>
                            </w:r>
                          </w:p>
                          <w:p w:rsidR="00357FF9" w:rsidRDefault="00357FF9" w:rsidP="00357FF9">
                            <w:pPr>
                              <w:pStyle w:val="StyleSPIEfigurecaption"/>
                              <w:jc w:val="left"/>
                            </w:pPr>
                            <w:r>
                              <w:t>Fig. 7: NEdTs for AIRS at 250K measured pre-launch (304) and in orbit (35)</w:t>
                            </w:r>
                          </w:p>
                          <w:p w:rsidR="00357FF9" w:rsidRDefault="00357FF9" w:rsidP="00357FF9">
                            <w:pPr>
                              <w:pStyle w:val="StyleSPIEfigurecaption"/>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pt;margin-top:30.95pt;width:250.9pt;height:219.3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" stroked="f">
                <v:textbox inset=".72pt,.72pt,.72pt,.72pt">
                  <w:txbxContent>
                    <w:p w:rsidR="00357FF9" w:rsidRDefault="00357FF9" w:rsidP="00357FF9">
                      <w:r>
                        <w:rPr>
                          <w:noProof/>
                        </w:rPr>
                        <w:drawing>
                          <wp:inline distT="0" distB="0" distL="0" distR="0">
                            <wp:extent cx="3179445" cy="2370455"/>
                            <wp:effectExtent l="0" t="0" r="1905" b="0"/>
                            <wp:docPr id="8" name="Picture 8" descr="304_35_ned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4_35_nedts"/>
                                    <pic:cNvPicPr>
                                      <a:picLocks noChangeAspect="1" noChangeArrowheads="1"/>
                                    </pic:cNvPicPr>
                                  </pic:nvPicPr>
                                  <pic:blipFill>
                                    <a:blip r:embed="rId14">
                                      <a:extLst>
                                        <a:ext uri="{28A0092B-C50C-407E-A947-70E740481C1C}">
                                          <a14:useLocalDpi xmlns:a14="http://schemas.microsoft.com/office/drawing/2010/main" val="0"/>
                                        </a:ext>
                                      </a:extLst>
                                    </a:blip>
                                    <a:srcRect l="7840" t="1492" r="7471" b="4048"/>
                                    <a:stretch>
                                      <a:fillRect/>
                                    </a:stretch>
                                  </pic:blipFill>
                                  <pic:spPr bwMode="auto">
                                    <a:xfrm>
                                      <a:off x="0" y="0"/>
                                      <a:ext cx="3179445" cy="2370455"/>
                                    </a:xfrm>
                                    <a:prstGeom prst="rect">
                                      <a:avLst/>
                                    </a:prstGeom>
                                    <a:noFill/>
                                    <a:ln>
                                      <a:noFill/>
                                    </a:ln>
                                  </pic:spPr>
                                </pic:pic>
                              </a:graphicData>
                            </a:graphic>
                          </wp:inline>
                        </w:drawing>
                      </w:r>
                    </w:p>
                    <w:p w:rsidR="00357FF9" w:rsidRDefault="00357FF9" w:rsidP="00357FF9">
                      <w:pPr>
                        <w:pStyle w:val="StyleSPIEfigurecaption"/>
                        <w:jc w:val="left"/>
                      </w:pPr>
                      <w:r>
                        <w:t xml:space="preserve">Fig. 7: </w:t>
                      </w:r>
                      <w:proofErr w:type="spellStart"/>
                      <w:r>
                        <w:t>NEdTs</w:t>
                      </w:r>
                      <w:proofErr w:type="spellEnd"/>
                      <w:r>
                        <w:t xml:space="preserve"> for AIRS at 250K measured pre-launch (304) and in orbit (35)</w:t>
                      </w:r>
                    </w:p>
                    <w:p w:rsidR="00357FF9" w:rsidRDefault="00357FF9" w:rsidP="00357FF9">
                      <w:pPr>
                        <w:pStyle w:val="StyleSPIEfigurecaption"/>
                      </w:pPr>
                    </w:p>
                  </w:txbxContent>
                </v:textbox>
                <w10:wrap type="topAndBottom" anchorx="margin" anchory="margin"/>
              </v:shape>
            </w:pict>
          </mc:Fallback>
        </mc:AlternateContent>
      </w:r>
      <w:r w:rsidR="00CC5305">
        <w:rPr>
          <w:noProof/>
        </w:rPr>
        <mc:AlternateContent>
          <mc:Choice Requires="wps">
            <w:drawing>
              <wp:anchor distT="0" distB="0" distL="114300" distR="114300" simplePos="0" relativeHeight="251661312" behindDoc="0" locked="0" layoutInCell="1" allowOverlap="1">
                <wp:simplePos x="0" y="0"/>
                <wp:positionH relativeFrom="column">
                  <wp:posOffset>3248465</wp:posOffset>
                </wp:positionH>
                <wp:positionV relativeFrom="margin">
                  <wp:posOffset>434828</wp:posOffset>
                </wp:positionV>
                <wp:extent cx="3044190" cy="2778125"/>
                <wp:effectExtent l="0" t="0" r="3810" b="31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77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FF9" w:rsidRDefault="00357FF9" w:rsidP="00357FF9">
                            <w:r>
                              <w:rPr>
                                <w:noProof/>
                              </w:rPr>
                              <w:drawing>
                                <wp:inline distT="0" distB="0" distL="0" distR="0">
                                  <wp:extent cx="2834640" cy="2327910"/>
                                  <wp:effectExtent l="0" t="0" r="3810" b="0"/>
                                  <wp:docPr id="9" name="Picture 9" descr="C7_co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_corr2"/>
                                          <pic:cNvPicPr>
                                            <a:picLocks noChangeAspect="1" noChangeArrowheads="1"/>
                                          </pic:cNvPicPr>
                                        </pic:nvPicPr>
                                        <pic:blipFill>
                                          <a:blip r:embed="rId15">
                                            <a:extLst>
                                              <a:ext uri="{28A0092B-C50C-407E-A947-70E740481C1C}">
                                                <a14:useLocalDpi xmlns:a14="http://schemas.microsoft.com/office/drawing/2010/main" val="0"/>
                                              </a:ext>
                                            </a:extLst>
                                          </a:blip>
                                          <a:srcRect l="6929" t="2306" r="7224" b="3833"/>
                                          <a:stretch>
                                            <a:fillRect/>
                                          </a:stretch>
                                        </pic:blipFill>
                                        <pic:spPr bwMode="auto">
                                          <a:xfrm>
                                            <a:off x="0" y="0"/>
                                            <a:ext cx="2834640" cy="2327910"/>
                                          </a:xfrm>
                                          <a:prstGeom prst="rect">
                                            <a:avLst/>
                                          </a:prstGeom>
                                          <a:noFill/>
                                          <a:ln>
                                            <a:noFill/>
                                          </a:ln>
                                        </pic:spPr>
                                      </pic:pic>
                                    </a:graphicData>
                                  </a:graphic>
                                </wp:inline>
                              </w:drawing>
                            </w:r>
                          </w:p>
                          <w:p w:rsidR="00357FF9" w:rsidRDefault="00357FF9" w:rsidP="00357FF9">
                            <w:pPr>
                              <w:pStyle w:val="StyleSPIEfigurecaption"/>
                              <w:jc w:val="left"/>
                            </w:pPr>
                            <w:r>
                              <w:t>Fig. 8: Ratio of the uncorrelated noise to the correlated noise in the 17 airs arrays.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5.8pt;margin-top:34.25pt;width:239.7pt;height:2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" stroked="f">
                <v:textbox inset=".72pt,.72pt,.72pt,.72pt">
                  <w:txbxContent>
                    <w:p w:rsidR="00357FF9" w:rsidRDefault="00357FF9" w:rsidP="00357FF9">
                      <w:r>
                        <w:rPr>
                          <w:noProof/>
                        </w:rPr>
                        <w:drawing>
                          <wp:inline distT="0" distB="0" distL="0" distR="0">
                            <wp:extent cx="2834640" cy="2327910"/>
                            <wp:effectExtent l="0" t="0" r="3810" b="0"/>
                            <wp:docPr id="9" name="Picture 9" descr="C7_co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_corr2"/>
                                    <pic:cNvPicPr>
                                      <a:picLocks noChangeAspect="1" noChangeArrowheads="1"/>
                                    </pic:cNvPicPr>
                                  </pic:nvPicPr>
                                  <pic:blipFill>
                                    <a:blip r:embed="rId16">
                                      <a:extLst>
                                        <a:ext uri="{28A0092B-C50C-407E-A947-70E740481C1C}">
                                          <a14:useLocalDpi xmlns:a14="http://schemas.microsoft.com/office/drawing/2010/main" val="0"/>
                                        </a:ext>
                                      </a:extLst>
                                    </a:blip>
                                    <a:srcRect l="6929" t="2306" r="7224" b="3833"/>
                                    <a:stretch>
                                      <a:fillRect/>
                                    </a:stretch>
                                  </pic:blipFill>
                                  <pic:spPr bwMode="auto">
                                    <a:xfrm>
                                      <a:off x="0" y="0"/>
                                      <a:ext cx="2834640" cy="2327910"/>
                                    </a:xfrm>
                                    <a:prstGeom prst="rect">
                                      <a:avLst/>
                                    </a:prstGeom>
                                    <a:noFill/>
                                    <a:ln>
                                      <a:noFill/>
                                    </a:ln>
                                  </pic:spPr>
                                </pic:pic>
                              </a:graphicData>
                            </a:graphic>
                          </wp:inline>
                        </w:drawing>
                      </w:r>
                    </w:p>
                    <w:p w:rsidR="00357FF9" w:rsidRDefault="00357FF9" w:rsidP="00357FF9">
                      <w:pPr>
                        <w:pStyle w:val="StyleSPIEfigurecaption"/>
                        <w:jc w:val="left"/>
                      </w:pPr>
                      <w:r>
                        <w:t>Fig. 8: Ratio of the uncorrelated noise to the correlated noise in the 17 airs arrays.</w:t>
                      </w:r>
                    </w:p>
                  </w:txbxContent>
                </v:textbox>
                <w10:wrap type="topAndBottom" anchory="margin"/>
              </v:shape>
            </w:pict>
          </mc:Fallback>
        </mc:AlternateContent>
      </w:r>
      <w:r>
        <w:t>investigations.</w:t>
      </w:r>
    </w:p>
    <w:p w:rsidR="00902730" w:rsidRDefault="00902730" w:rsidP="007427BC">
      <w:pPr>
        <w:pStyle w:val="Heading4"/>
      </w:pPr>
      <w:r>
        <w:t>Spectral Calibration</w:t>
      </w:r>
    </w:p>
    <w:p w:rsidR="00902730" w:rsidRDefault="007422B6" w:rsidP="00ED10C3">
      <w:r>
        <w:rPr>
          <w:shd w:val="clear" w:color="auto" w:fill="FFFFFF"/>
        </w:rPr>
        <w:t xml:space="preserve">Radiometric uncertainty stated above for AIRS assumes a spectrally flat scene since spectral errors are scene dependent.  Users should be aware of the spectral accuracy of AIRS (&lt;10ppm of the center frequency) as they use the radiances.  </w:t>
      </w:r>
      <w:r w:rsidR="00EA410A" w:rsidRPr="00EA410A">
        <w:rPr>
          <w:shd w:val="clear" w:color="auto" w:fill="FFFFFF"/>
        </w:rPr>
        <w:t>The AIRS achieves spectral channel definition using a grating spectrometer.  As the temperature of the instrument changes, small alignment changes occur between the spectrometer and focal plane that will shift the frequencies of the instrument.  The upwelling spectrum provides a wealth of atmospheric absorption lines that have been used to calibrate the spectral shift.  The shift as a function of time is performed by correlating the AIRS spectra and spectra computed based on ECMWF model fields</w:t>
      </w:r>
      <w:r w:rsidR="004E3CB0">
        <w:rPr>
          <w:rStyle w:val="EndnoteReference"/>
          <w:shd w:val="clear" w:color="auto" w:fill="FFFFFF"/>
        </w:rPr>
        <w:endnoteReference w:id="4"/>
      </w:r>
      <w:r w:rsidR="00EA410A" w:rsidRPr="00EA410A">
        <w:rPr>
          <w:shd w:val="clear" w:color="auto" w:fill="FFFFFF"/>
        </w:rPr>
        <w:t>.  The correlations are performed separately for each AIRS module, with sufficient spectral structure.  The final frequency shift is derived from a single module with very high-quality spectral features (a water vapor module) that correlates extremely well with modules only sensitive to carbon dioxide line emission</w:t>
      </w:r>
      <w:r w:rsidR="00EA410A">
        <w:rPr>
          <w:shd w:val="clear" w:color="auto" w:fill="FFFFFF"/>
        </w:rPr>
        <w:t xml:space="preserve">.  </w:t>
      </w:r>
      <w:r w:rsidR="00EA410A" w:rsidRPr="00EA410A">
        <w:rPr>
          <w:shd w:val="clear" w:color="auto" w:fill="FFFFFF"/>
        </w:rPr>
        <w:t>We see a steady shift in the position of the FPA, covering about 1 μm (or 1% of the width, or about 10 ppm of the center frequency) over the life of the mission, or about 0.5% of the width since the first major shutdown in late 2003.  In the last five years the system has been extremely stable showing less than 0.25% of the width shift of the centroids.  Frequencies are available at the UMBC Atmospheric Spectroscopy Laboratory website: http</w:t>
      </w:r>
      <w:r>
        <w:rPr>
          <w:shd w:val="clear" w:color="auto" w:fill="FFFFFF"/>
        </w:rPr>
        <w:t>://asl.umbc.edu/pub/airs/srf/.</w:t>
      </w:r>
    </w:p>
    <w:p w:rsidR="009041F1" w:rsidRPr="009041F1" w:rsidRDefault="009041F1" w:rsidP="00ED10C3">
      <w:pPr>
        <w:pStyle w:val="ListParagraph"/>
        <w:numPr>
          <w:ilvl w:val="2"/>
          <w:numId w:val="1"/>
        </w:numPr>
      </w:pPr>
      <w:r w:rsidRPr="00ED10C3">
        <w:rPr>
          <w:rFonts w:ascii="Cambria" w:eastAsia="Cambria" w:hAnsi="Cambria" w:cs="Cambria"/>
          <w:b/>
          <w:i/>
          <w:color w:val="000066"/>
        </w:rPr>
        <w:t>Geometric factors</w:t>
      </w:r>
    </w:p>
    <w:p w:rsidR="009041F1" w:rsidRDefault="009041F1" w:rsidP="009041F1">
      <w:pPr>
        <w:rPr>
          <w:shd w:val="clear" w:color="auto" w:fill="FFFFFF"/>
        </w:rPr>
      </w:pPr>
      <w:r>
        <w:rPr>
          <w:shd w:val="clear" w:color="auto" w:fill="FFFFFF"/>
        </w:rPr>
        <w:t xml:space="preserve">Again, the radiometric uncertainty of the instrument assumes a spatially homogenous overfilled instantaneous field of view of the instrument.  In fact, every spectral pixel in AIRS has a slightly different two dimensional spatial response.  This can significantly impact the radiances in non-uniform scenes.  This effect can be seen as discontinuities in the spectra at channels that overlap from different orders on </w:t>
      </w:r>
      <w:r>
        <w:rPr>
          <w:shd w:val="clear" w:color="auto" w:fill="FFFFFF"/>
        </w:rPr>
        <w:lastRenderedPageBreak/>
        <w:t xml:space="preserve">ends of the modules.  </w:t>
      </w:r>
      <w:r w:rsidRPr="004E3CB0">
        <w:rPr>
          <w:shd w:val="clear" w:color="auto" w:fill="FFFFFF"/>
        </w:rPr>
        <w:t>If sensitivity to channel coregistr</w:t>
      </w:r>
      <w:r>
        <w:rPr>
          <w:shd w:val="clear" w:color="auto" w:fill="FFFFFF"/>
        </w:rPr>
        <w:t xml:space="preserve">ation is a concern then use the </w:t>
      </w:r>
      <w:r w:rsidRPr="004E3CB0">
        <w:rPr>
          <w:shd w:val="clear" w:color="auto" w:fill="FFFFFF"/>
        </w:rPr>
        <w:t>Sceneinhomogeneous flag, the Rdiff_swindow and Rdiff_lwindow flags and/or the radiances themselves to restrict data selection to uniform scenes where co registration is not an issue.</w:t>
      </w:r>
      <w:bookmarkStart w:id="12" w:name="_adjohath4zxp"/>
      <w:bookmarkEnd w:id="12"/>
    </w:p>
    <w:p w:rsidR="009041F1" w:rsidRDefault="009041F1" w:rsidP="009041F1">
      <w:pPr>
        <w:rPr>
          <w:shd w:val="clear" w:color="auto" w:fill="FFFFFF"/>
        </w:rPr>
      </w:pPr>
      <w:r>
        <w:rPr>
          <w:shd w:val="clear" w:color="auto" w:fill="FFFFFF"/>
        </w:rPr>
        <w:t>Geolocation accuracy of the AIRS on the Aqua is estimated to be better than 1km</w:t>
      </w:r>
      <w:r>
        <w:rPr>
          <w:rStyle w:val="EndnoteReference"/>
          <w:shd w:val="clear" w:color="auto" w:fill="FFFFFF"/>
        </w:rPr>
        <w:endnoteReference w:id="5"/>
      </w:r>
      <w:r>
        <w:rPr>
          <w:shd w:val="clear" w:color="auto" w:fill="FFFFFF"/>
        </w:rPr>
        <w:t xml:space="preserve"> as determined by coastline crossings shortly after launch and confirmed using radiometric techniques later in the mission.</w:t>
      </w:r>
    </w:p>
    <w:p w:rsidR="00902730" w:rsidRDefault="009041F1" w:rsidP="00ED10C3">
      <w:pPr>
        <w:pStyle w:val="ListParagraph"/>
        <w:numPr>
          <w:ilvl w:val="2"/>
          <w:numId w:val="1"/>
        </w:numPr>
      </w:pPr>
      <w:r>
        <w:rPr>
          <w:rFonts w:ascii="Cambria" w:eastAsia="Cambria" w:hAnsi="Cambria" w:cs="Cambria"/>
          <w:b/>
          <w:i/>
          <w:color w:val="000066"/>
        </w:rPr>
        <w:t>Uncertainty Estimate Table</w:t>
      </w:r>
    </w:p>
    <w:tbl>
      <w:tblPr>
        <w:tblW w:w="8880" w:type="dxa"/>
        <w:tblLook w:val="04A0" w:firstRow="1" w:lastRow="0" w:firstColumn="1" w:lastColumn="0" w:noHBand="0" w:noVBand="1"/>
      </w:tblPr>
      <w:tblGrid>
        <w:gridCol w:w="960"/>
        <w:gridCol w:w="960"/>
        <w:gridCol w:w="960"/>
        <w:gridCol w:w="1000"/>
        <w:gridCol w:w="1000"/>
        <w:gridCol w:w="1000"/>
        <w:gridCol w:w="1000"/>
        <w:gridCol w:w="1000"/>
        <w:gridCol w:w="1000"/>
      </w:tblGrid>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rPr>
                <w:rFonts w:ascii="Times New Roman" w:eastAsia="Times New Roman" w:hAnsi="Times New Roman" w:cs="Times New Roman"/>
                <w:color w:val="auto"/>
                <w:sz w:val="24"/>
                <w:szCs w:val="24"/>
              </w:rPr>
            </w:pPr>
          </w:p>
        </w:tc>
        <w:tc>
          <w:tcPr>
            <w:tcW w:w="960" w:type="dxa"/>
            <w:shd w:val="clear" w:color="auto" w:fill="auto"/>
            <w:noWrap/>
            <w:vAlign w:val="bottom"/>
            <w:hideMark/>
          </w:tcPr>
          <w:p w:rsidR="009041F1" w:rsidRPr="009041F1" w:rsidRDefault="009041F1" w:rsidP="009041F1">
            <w:pPr>
              <w:spacing w:after="0"/>
              <w:jc w:val="center"/>
              <w:rPr>
                <w:rFonts w:ascii="Times New Roman" w:eastAsia="Times New Roman" w:hAnsi="Times New Roman" w:cs="Times New Roman"/>
                <w:color w:val="auto"/>
                <w:sz w:val="20"/>
              </w:rPr>
            </w:pPr>
          </w:p>
        </w:tc>
        <w:tc>
          <w:tcPr>
            <w:tcW w:w="960" w:type="dxa"/>
            <w:shd w:val="clear" w:color="auto" w:fill="auto"/>
            <w:noWrap/>
            <w:vAlign w:val="bottom"/>
            <w:hideMark/>
          </w:tcPr>
          <w:p w:rsidR="009041F1" w:rsidRPr="009041F1" w:rsidRDefault="009041F1" w:rsidP="009041F1">
            <w:pPr>
              <w:spacing w:after="0"/>
              <w:jc w:val="center"/>
              <w:rPr>
                <w:rFonts w:ascii="Times New Roman" w:eastAsia="Times New Roman" w:hAnsi="Times New Roman" w:cs="Times New Roman"/>
                <w:color w:val="auto"/>
                <w:sz w:val="20"/>
              </w:rPr>
            </w:pPr>
          </w:p>
        </w:tc>
        <w:tc>
          <w:tcPr>
            <w:tcW w:w="6000" w:type="dxa"/>
            <w:gridSpan w:val="6"/>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1-Sigma Uncertainty dTb [K]</w:t>
            </w:r>
          </w:p>
        </w:tc>
      </w:tr>
      <w:tr w:rsidR="009041F1" w:rsidRPr="009041F1" w:rsidTr="009041F1">
        <w:trPr>
          <w:trHeight w:val="900"/>
        </w:trPr>
        <w:tc>
          <w:tcPr>
            <w:tcW w:w="960" w:type="dxa"/>
            <w:shd w:val="clear" w:color="auto" w:fill="auto"/>
            <w:hideMark/>
          </w:tcPr>
          <w:p w:rsidR="009041F1" w:rsidRPr="009041F1" w:rsidRDefault="009041F1" w:rsidP="009041F1">
            <w:pPr>
              <w:spacing w:after="0"/>
              <w:rPr>
                <w:rFonts w:eastAsia="Times New Roman"/>
                <w:szCs w:val="22"/>
              </w:rPr>
            </w:pPr>
            <w:r w:rsidRPr="009041F1">
              <w:rPr>
                <w:rFonts w:eastAsia="Times New Roman"/>
                <w:szCs w:val="22"/>
              </w:rPr>
              <w:t>Pseudo Channel [cm-1]</w:t>
            </w:r>
          </w:p>
        </w:tc>
        <w:tc>
          <w:tcPr>
            <w:tcW w:w="960" w:type="dxa"/>
            <w:shd w:val="clear" w:color="auto" w:fill="auto"/>
            <w:hideMark/>
          </w:tcPr>
          <w:p w:rsidR="009041F1" w:rsidRPr="009041F1" w:rsidRDefault="009041F1" w:rsidP="009041F1">
            <w:pPr>
              <w:spacing w:after="0"/>
              <w:rPr>
                <w:rFonts w:eastAsia="Times New Roman"/>
                <w:szCs w:val="22"/>
              </w:rPr>
            </w:pPr>
            <w:r w:rsidRPr="009041F1">
              <w:rPr>
                <w:rFonts w:eastAsia="Times New Roman"/>
                <w:szCs w:val="22"/>
              </w:rPr>
              <w:t>Min Freq [cm-1]</w:t>
            </w:r>
          </w:p>
        </w:tc>
        <w:tc>
          <w:tcPr>
            <w:tcW w:w="960" w:type="dxa"/>
            <w:shd w:val="clear" w:color="auto" w:fill="auto"/>
            <w:hideMark/>
          </w:tcPr>
          <w:p w:rsidR="009041F1" w:rsidRPr="009041F1" w:rsidRDefault="009041F1" w:rsidP="009041F1">
            <w:pPr>
              <w:spacing w:after="0"/>
              <w:rPr>
                <w:rFonts w:eastAsia="Times New Roman"/>
                <w:szCs w:val="22"/>
              </w:rPr>
            </w:pPr>
            <w:r w:rsidRPr="009041F1">
              <w:rPr>
                <w:rFonts w:eastAsia="Times New Roman"/>
                <w:szCs w:val="22"/>
              </w:rPr>
              <w:t>Max Freq [cm-1]</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200</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220</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240</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260</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280</w:t>
            </w:r>
          </w:p>
        </w:tc>
        <w:tc>
          <w:tcPr>
            <w:tcW w:w="1000" w:type="dxa"/>
            <w:shd w:val="clear" w:color="auto" w:fill="auto"/>
            <w:hideMark/>
          </w:tcPr>
          <w:p w:rsidR="009041F1" w:rsidRPr="009041F1" w:rsidRDefault="009041F1" w:rsidP="009041F1">
            <w:pPr>
              <w:spacing w:after="0"/>
              <w:jc w:val="center"/>
              <w:rPr>
                <w:rFonts w:eastAsia="Times New Roman"/>
                <w:szCs w:val="22"/>
              </w:rPr>
            </w:pPr>
            <w:r w:rsidRPr="009041F1">
              <w:rPr>
                <w:rFonts w:eastAsia="Times New Roman"/>
                <w:szCs w:val="22"/>
              </w:rPr>
              <w:t>300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690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790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890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lastRenderedPageBreak/>
              <w:t>965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990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0.47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1090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1100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1290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1390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1490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lastRenderedPageBreak/>
              <w:t>1505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1590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1600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1605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1600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1610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2190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2290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0.42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2390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NaN</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0.46</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2455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2450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2460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2465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2460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2470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2475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2470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2480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lastRenderedPageBreak/>
              <w:t>2485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2480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2490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0.24</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2495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2490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2500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2505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2500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0.28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2515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2510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2520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0.38</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0.07</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2525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2520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2530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0.08</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2535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2530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2540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0.33</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0.12</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0.11</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0.09</w:t>
            </w:r>
          </w:p>
        </w:tc>
      </w:tr>
      <w:tr w:rsidR="009041F1" w:rsidRPr="009041F1" w:rsidTr="009041F1">
        <w:trPr>
          <w:trHeight w:val="300"/>
        </w:trPr>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2545</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2540</w:t>
            </w:r>
          </w:p>
        </w:tc>
        <w:tc>
          <w:tcPr>
            <w:tcW w:w="96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2550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0.75</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0.19</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c>
          <w:tcPr>
            <w:tcW w:w="1000" w:type="dxa"/>
            <w:shd w:val="clear" w:color="auto" w:fill="auto"/>
            <w:noWrap/>
            <w:vAlign w:val="bottom"/>
            <w:hideMark/>
          </w:tcPr>
          <w:p w:rsidR="009041F1" w:rsidRPr="009041F1" w:rsidRDefault="009041F1" w:rsidP="009041F1">
            <w:pPr>
              <w:spacing w:after="0"/>
              <w:jc w:val="center"/>
              <w:rPr>
                <w:rFonts w:eastAsia="Times New Roman"/>
                <w:szCs w:val="22"/>
              </w:rPr>
            </w:pPr>
            <w:r w:rsidRPr="009041F1">
              <w:rPr>
                <w:rFonts w:eastAsia="Times New Roman"/>
                <w:szCs w:val="22"/>
              </w:rPr>
              <w:t>0.10</w:t>
            </w:r>
          </w:p>
        </w:tc>
      </w:tr>
    </w:tbl>
    <w:p w:rsidR="009041F1" w:rsidRDefault="009041F1" w:rsidP="00ED10C3"/>
    <w:p w:rsidR="009F65FC" w:rsidRDefault="009F65FC" w:rsidP="00ED10C3">
      <w:r>
        <w:t>© 2019 California Institute of Technology. Government sponsorship acknowledged.</w:t>
      </w:r>
    </w:p>
    <w:sectPr w:rsidR="009F65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4E" w:rsidRDefault="0052324E" w:rsidP="00ED10C3">
      <w:pPr>
        <w:spacing w:after="0"/>
      </w:pPr>
      <w:r>
        <w:separator/>
      </w:r>
    </w:p>
  </w:endnote>
  <w:endnote w:type="continuationSeparator" w:id="0">
    <w:p w:rsidR="0052324E" w:rsidRDefault="0052324E" w:rsidP="00ED10C3">
      <w:pPr>
        <w:spacing w:after="0"/>
      </w:pPr>
      <w:r>
        <w:continuationSeparator/>
      </w:r>
    </w:p>
  </w:endnote>
  <w:endnote w:id="1">
    <w:p w:rsidR="00213313" w:rsidRDefault="00213313" w:rsidP="00213313">
      <w:pPr>
        <w:pStyle w:val="References"/>
      </w:pPr>
      <w:r>
        <w:rPr>
          <w:rStyle w:val="EndnoteReference"/>
        </w:rPr>
        <w:endnoteRef/>
      </w:r>
      <w:r>
        <w:t xml:space="preserve"> Aumann, H.H., “Radiometric stability in 16 years of AIRS hyperspectral infrared data”, Proc SPIE 10764, August 2018</w:t>
      </w:r>
    </w:p>
  </w:endnote>
  <w:endnote w:id="2">
    <w:p w:rsidR="004E3CB0" w:rsidRDefault="004E3CB0" w:rsidP="004E3CB0">
      <w:pPr>
        <w:pStyle w:val="References"/>
      </w:pPr>
      <w:r>
        <w:rPr>
          <w:rStyle w:val="EndnoteReference"/>
        </w:rPr>
        <w:endnoteRef/>
      </w:r>
      <w:r>
        <w:t xml:space="preserve"> Pagano, T., Broberg, S., Manning, E., Aumann, H., Strow, L., Weiler, M., “</w:t>
      </w:r>
      <w:r w:rsidRPr="0003251E">
        <w:t>Reducing uncertainty in the AIRS radiometric calibration</w:t>
      </w:r>
      <w:r>
        <w:t>”, Proc. SPIE, 10764-23, August 2018</w:t>
      </w:r>
    </w:p>
  </w:endnote>
  <w:endnote w:id="3">
    <w:p w:rsidR="004E3CB0" w:rsidRDefault="004E3CB0" w:rsidP="004E3CB0">
      <w:pPr>
        <w:pStyle w:val="References"/>
      </w:pPr>
      <w:r>
        <w:rPr>
          <w:rStyle w:val="EndnoteReference"/>
        </w:rPr>
        <w:endnoteRef/>
      </w:r>
      <w:r>
        <w:t xml:space="preserve"> Pagano, T.S., Broberg, S., Aumann, H., Elliott, D., Manning, E., Strow, L, “</w:t>
      </w:r>
      <w:r w:rsidRPr="004E3CB0">
        <w:t>Performance Status of the Atmospheric Infrared Sounder Ten Years after Launch</w:t>
      </w:r>
      <w:r>
        <w:t>”, Proc. SPIE 8507-02, Kyoto, Japan (2012)</w:t>
      </w:r>
    </w:p>
  </w:endnote>
  <w:endnote w:id="4">
    <w:p w:rsidR="004E3CB0" w:rsidRDefault="004E3CB0" w:rsidP="004E3CB0">
      <w:pPr>
        <w:pStyle w:val="References"/>
      </w:pPr>
      <w:r>
        <w:rPr>
          <w:rStyle w:val="EndnoteReference"/>
        </w:rPr>
        <w:endnoteRef/>
      </w:r>
      <w:r>
        <w:t xml:space="preserve"> </w:t>
      </w:r>
      <w:r w:rsidRPr="00447A68">
        <w:rPr>
          <w:rFonts w:ascii="TimesNewRoman" w:hAnsi="TimesNewRoman" w:cs="TimesNewRoman"/>
        </w:rPr>
        <w:t xml:space="preserve">Strow, L. L., S. E. Hannon, S. De-Souza Machado, H. E. Motteler, and D. C. Tobin (2006), </w:t>
      </w:r>
      <w:r>
        <w:rPr>
          <w:rFonts w:ascii="TimesNewRoman" w:hAnsi="TimesNewRoman" w:cs="TimesNewRoman"/>
        </w:rPr>
        <w:t>“</w:t>
      </w:r>
      <w:r w:rsidRPr="00447A68">
        <w:rPr>
          <w:rFonts w:ascii="TimesNewRoman" w:hAnsi="TimesNewRoman" w:cs="TimesNewRoman"/>
        </w:rPr>
        <w:t>Validation of the Atmospheric Infrared Sounder radiative transfer algorithm</w:t>
      </w:r>
      <w:r>
        <w:rPr>
          <w:rFonts w:ascii="TimesNewRoman" w:hAnsi="TimesNewRoman" w:cs="TimesNewRoman"/>
        </w:rPr>
        <w:t>”</w:t>
      </w:r>
      <w:r w:rsidRPr="00447A68">
        <w:rPr>
          <w:rFonts w:ascii="TimesNewRoman" w:hAnsi="TimesNewRoman" w:cs="TimesNewRoman"/>
        </w:rPr>
        <w:t>, J. Geophys. Res., 111, D09S06, doi:10.1029/2005JD006146</w:t>
      </w:r>
    </w:p>
  </w:endnote>
  <w:endnote w:id="5">
    <w:p w:rsidR="009041F1" w:rsidRDefault="009041F1" w:rsidP="009041F1">
      <w:pPr>
        <w:pStyle w:val="References"/>
      </w:pPr>
      <w:r>
        <w:rPr>
          <w:rStyle w:val="EndnoteReference"/>
        </w:rPr>
        <w:endnoteRef/>
      </w:r>
      <w:r>
        <w:t xml:space="preserve"> </w:t>
      </w:r>
      <w:r w:rsidRPr="004E3CB0">
        <w:t>Pagano, T. S., S. Broberg, M. Weiler, “Recent checks on the radiometric and spatial calibration of AIRS in-orbit”, Proc. SPIE 9972-7, San Diego, CA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4E" w:rsidRDefault="0052324E" w:rsidP="00ED10C3">
      <w:pPr>
        <w:spacing w:after="0"/>
      </w:pPr>
      <w:r>
        <w:separator/>
      </w:r>
    </w:p>
  </w:footnote>
  <w:footnote w:type="continuationSeparator" w:id="0">
    <w:p w:rsidR="0052324E" w:rsidRDefault="0052324E" w:rsidP="00ED10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0B03DC8"/>
    <w:lvl w:ilvl="0">
      <w:start w:val="1"/>
      <w:numFmt w:val="decimal"/>
      <w:lvlText w:val="%1."/>
      <w:lvlJc w:val="left"/>
      <w:pPr>
        <w:tabs>
          <w:tab w:val="num" w:pos="0"/>
        </w:tabs>
        <w:ind w:left="720" w:hanging="360"/>
      </w:pPr>
      <w:rPr>
        <w:rFonts w:ascii="Cambria" w:eastAsia="Cambria" w:hAnsi="Cambria" w:cs="Cambria"/>
        <w:b/>
        <w:color w:val="000066"/>
        <w:sz w:val="28"/>
      </w:rPr>
    </w:lvl>
    <w:lvl w:ilvl="1">
      <w:start w:val="1"/>
      <w:numFmt w:val="decimal"/>
      <w:lvlText w:val="%1.%2."/>
      <w:lvlJc w:val="left"/>
      <w:pPr>
        <w:tabs>
          <w:tab w:val="num" w:pos="0"/>
        </w:tabs>
        <w:ind w:left="1440" w:hanging="360"/>
      </w:pPr>
      <w:rPr>
        <w:rFonts w:ascii="Cambria" w:eastAsia="Cambria" w:hAnsi="Cambria" w:cs="Cambria"/>
        <w:b/>
        <w:color w:val="000066"/>
        <w:sz w:val="24"/>
      </w:rPr>
    </w:lvl>
    <w:lvl w:ilvl="2">
      <w:start w:val="1"/>
      <w:numFmt w:val="decimal"/>
      <w:pStyle w:val="Heading4"/>
      <w:lvlText w:val="%1.%2.%3."/>
      <w:lvlJc w:val="left"/>
      <w:pPr>
        <w:tabs>
          <w:tab w:val="num" w:pos="0"/>
        </w:tabs>
        <w:ind w:left="2160" w:hanging="180"/>
      </w:pPr>
      <w:rPr>
        <w:rFonts w:ascii="Cambria" w:eastAsia="Cambria" w:hAnsi="Cambria" w:cs="Cambria"/>
        <w:b/>
        <w:i/>
        <w:color w:val="000066"/>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A455BA"/>
    <w:multiLevelType w:val="hybridMultilevel"/>
    <w:tmpl w:val="0AFCD3B4"/>
    <w:lvl w:ilvl="0" w:tplc="00000000">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30"/>
    <w:rsid w:val="000434A5"/>
    <w:rsid w:val="000A2CB5"/>
    <w:rsid w:val="00140CFA"/>
    <w:rsid w:val="00213313"/>
    <w:rsid w:val="00263652"/>
    <w:rsid w:val="002B7EB9"/>
    <w:rsid w:val="003006A5"/>
    <w:rsid w:val="00357FF9"/>
    <w:rsid w:val="003A1574"/>
    <w:rsid w:val="004E3CB0"/>
    <w:rsid w:val="0052324E"/>
    <w:rsid w:val="005904D1"/>
    <w:rsid w:val="005944BB"/>
    <w:rsid w:val="005D6E2B"/>
    <w:rsid w:val="005E0965"/>
    <w:rsid w:val="005F619A"/>
    <w:rsid w:val="0060282B"/>
    <w:rsid w:val="00723E8A"/>
    <w:rsid w:val="00730BA9"/>
    <w:rsid w:val="00731D9D"/>
    <w:rsid w:val="007422B6"/>
    <w:rsid w:val="007427BC"/>
    <w:rsid w:val="00852909"/>
    <w:rsid w:val="008A1F55"/>
    <w:rsid w:val="008B0066"/>
    <w:rsid w:val="00902730"/>
    <w:rsid w:val="009041F1"/>
    <w:rsid w:val="0093014D"/>
    <w:rsid w:val="009462F9"/>
    <w:rsid w:val="009F65FC"/>
    <w:rsid w:val="00AB4365"/>
    <w:rsid w:val="00C531B7"/>
    <w:rsid w:val="00CB39E0"/>
    <w:rsid w:val="00CC5305"/>
    <w:rsid w:val="00D76F43"/>
    <w:rsid w:val="00E50BD0"/>
    <w:rsid w:val="00EA410A"/>
    <w:rsid w:val="00ED10C3"/>
    <w:rsid w:val="00F1608D"/>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6C40"/>
  <w15:chartTrackingRefBased/>
  <w15:docId w15:val="{29FE3A8D-BE53-44C0-A0F3-CCB835F6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C3"/>
    <w:pPr>
      <w:spacing w:after="200" w:line="240" w:lineRule="auto"/>
    </w:pPr>
    <w:rPr>
      <w:rFonts w:ascii="Calibri" w:eastAsia="Calibri" w:hAnsi="Calibri" w:cs="Calibri"/>
      <w:color w:val="000000"/>
      <w:szCs w:val="20"/>
    </w:rPr>
  </w:style>
  <w:style w:type="paragraph" w:styleId="Heading3">
    <w:name w:val="heading 3"/>
    <w:basedOn w:val="Normal"/>
    <w:next w:val="Normal"/>
    <w:link w:val="Heading3Char"/>
    <w:qFormat/>
    <w:rsid w:val="00902730"/>
    <w:pPr>
      <w:spacing w:before="200"/>
      <w:ind w:left="360" w:hanging="360"/>
      <w:outlineLvl w:val="2"/>
    </w:pPr>
    <w:rPr>
      <w:b/>
      <w:color w:val="000066"/>
    </w:rPr>
  </w:style>
  <w:style w:type="paragraph" w:styleId="Heading4">
    <w:name w:val="heading 4"/>
    <w:basedOn w:val="Normal"/>
    <w:next w:val="Normal"/>
    <w:link w:val="Heading4Char"/>
    <w:qFormat/>
    <w:rsid w:val="007427BC"/>
    <w:pPr>
      <w:numPr>
        <w:ilvl w:val="2"/>
        <w:numId w:val="1"/>
      </w:numPr>
      <w:spacing w:before="200"/>
      <w:outlineLvl w:val="3"/>
    </w:pPr>
    <w:rPr>
      <w:b/>
      <w:i/>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2730"/>
    <w:rPr>
      <w:rFonts w:ascii="Calibri" w:eastAsia="Calibri" w:hAnsi="Calibri" w:cs="Calibri"/>
      <w:b/>
      <w:color w:val="000066"/>
      <w:sz w:val="24"/>
      <w:szCs w:val="20"/>
    </w:rPr>
  </w:style>
  <w:style w:type="character" w:customStyle="1" w:styleId="Heading4Char">
    <w:name w:val="Heading 4 Char"/>
    <w:basedOn w:val="DefaultParagraphFont"/>
    <w:link w:val="Heading4"/>
    <w:rsid w:val="007427BC"/>
    <w:rPr>
      <w:rFonts w:ascii="Calibri" w:eastAsia="Calibri" w:hAnsi="Calibri" w:cs="Calibri"/>
      <w:b/>
      <w:i/>
      <w:color w:val="000066"/>
      <w:szCs w:val="20"/>
    </w:rPr>
  </w:style>
  <w:style w:type="character" w:styleId="CommentReference">
    <w:name w:val="annotation reference"/>
    <w:basedOn w:val="DefaultParagraphFont"/>
    <w:rsid w:val="00902730"/>
    <w:rPr>
      <w:sz w:val="16"/>
      <w:szCs w:val="16"/>
    </w:rPr>
  </w:style>
  <w:style w:type="paragraph" w:styleId="CommentText">
    <w:name w:val="annotation text"/>
    <w:basedOn w:val="Normal"/>
    <w:link w:val="CommentTextChar"/>
    <w:rsid w:val="00902730"/>
    <w:rPr>
      <w:sz w:val="20"/>
    </w:rPr>
  </w:style>
  <w:style w:type="character" w:customStyle="1" w:styleId="CommentTextChar">
    <w:name w:val="Comment Text Char"/>
    <w:basedOn w:val="DefaultParagraphFont"/>
    <w:link w:val="CommentText"/>
    <w:rsid w:val="00902730"/>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027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30"/>
    <w:rPr>
      <w:rFonts w:ascii="Segoe UI" w:eastAsia="Calibri" w:hAnsi="Segoe UI" w:cs="Segoe UI"/>
      <w:color w:val="000000"/>
      <w:sz w:val="18"/>
      <w:szCs w:val="18"/>
    </w:rPr>
  </w:style>
  <w:style w:type="paragraph" w:styleId="ListParagraph">
    <w:name w:val="List Paragraph"/>
    <w:basedOn w:val="Normal"/>
    <w:uiPriority w:val="34"/>
    <w:qFormat/>
    <w:rsid w:val="00ED10C3"/>
    <w:pPr>
      <w:ind w:left="720"/>
      <w:contextualSpacing/>
    </w:pPr>
  </w:style>
  <w:style w:type="paragraph" w:customStyle="1" w:styleId="Equation">
    <w:name w:val="Equation"/>
    <w:basedOn w:val="Normal"/>
    <w:link w:val="EquationChar"/>
    <w:qFormat/>
    <w:rsid w:val="00ED10C3"/>
    <w:pPr>
      <w:tabs>
        <w:tab w:val="center" w:pos="4500"/>
        <w:tab w:val="right" w:pos="9540"/>
      </w:tabs>
      <w:spacing w:after="120"/>
      <w:jc w:val="both"/>
    </w:pPr>
    <w:rPr>
      <w:rFonts w:ascii="Times New Roman" w:eastAsia="Times New Roman" w:hAnsi="Times New Roman" w:cs="Times New Roman"/>
      <w:color w:val="auto"/>
      <w:sz w:val="20"/>
      <w:szCs w:val="24"/>
    </w:rPr>
  </w:style>
  <w:style w:type="character" w:customStyle="1" w:styleId="EquationChar">
    <w:name w:val="Equation Char"/>
    <w:basedOn w:val="DefaultParagraphFont"/>
    <w:link w:val="Equation"/>
    <w:rsid w:val="00ED10C3"/>
    <w:rPr>
      <w:rFonts w:ascii="Times New Roman" w:eastAsia="Times New Roman" w:hAnsi="Times New Roman" w:cs="Times New Roman"/>
      <w:sz w:val="20"/>
      <w:szCs w:val="24"/>
    </w:rPr>
  </w:style>
  <w:style w:type="paragraph" w:styleId="EndnoteText">
    <w:name w:val="endnote text"/>
    <w:basedOn w:val="Normal"/>
    <w:link w:val="EndnoteTextChar"/>
    <w:uiPriority w:val="99"/>
    <w:semiHidden/>
    <w:unhideWhenUsed/>
    <w:rsid w:val="00ED10C3"/>
    <w:pPr>
      <w:spacing w:after="0"/>
    </w:pPr>
    <w:rPr>
      <w:sz w:val="20"/>
    </w:rPr>
  </w:style>
  <w:style w:type="character" w:customStyle="1" w:styleId="EndnoteTextChar">
    <w:name w:val="Endnote Text Char"/>
    <w:basedOn w:val="DefaultParagraphFont"/>
    <w:link w:val="EndnoteText"/>
    <w:uiPriority w:val="99"/>
    <w:semiHidden/>
    <w:rsid w:val="00ED10C3"/>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D10C3"/>
    <w:rPr>
      <w:vertAlign w:val="superscript"/>
    </w:rPr>
  </w:style>
  <w:style w:type="paragraph" w:customStyle="1" w:styleId="StyleSPIEfigurecaption">
    <w:name w:val="Style SPIE figure caption"/>
    <w:basedOn w:val="Normal"/>
    <w:rsid w:val="00D76F43"/>
    <w:pPr>
      <w:spacing w:after="120"/>
      <w:ind w:left="360" w:right="360"/>
      <w:jc w:val="both"/>
    </w:pPr>
    <w:rPr>
      <w:rFonts w:ascii="Times New Roman" w:eastAsia="Times New Roman" w:hAnsi="Times New Roman" w:cs="Times New Roman"/>
      <w:color w:val="auto"/>
      <w:sz w:val="18"/>
    </w:rPr>
  </w:style>
  <w:style w:type="paragraph" w:customStyle="1" w:styleId="SPIEbodytext">
    <w:name w:val="SPIE body text"/>
    <w:basedOn w:val="Normal"/>
    <w:link w:val="SPIEbodytextCharChar"/>
    <w:qFormat/>
    <w:rsid w:val="005D6E2B"/>
    <w:pPr>
      <w:spacing w:after="120"/>
      <w:jc w:val="both"/>
    </w:pPr>
    <w:rPr>
      <w:rFonts w:ascii="Times New Roman" w:eastAsia="Times New Roman" w:hAnsi="Times New Roman" w:cs="Times New Roman"/>
      <w:color w:val="auto"/>
      <w:sz w:val="20"/>
      <w:szCs w:val="24"/>
    </w:rPr>
  </w:style>
  <w:style w:type="character" w:customStyle="1" w:styleId="SPIEbodytextCharChar">
    <w:name w:val="SPIE body text Char Char"/>
    <w:link w:val="SPIEbodytext"/>
    <w:rsid w:val="005D6E2B"/>
    <w:rPr>
      <w:rFonts w:ascii="Times New Roman" w:eastAsia="Times New Roman" w:hAnsi="Times New Roman" w:cs="Times New Roman"/>
      <w:sz w:val="20"/>
      <w:szCs w:val="24"/>
    </w:rPr>
  </w:style>
  <w:style w:type="paragraph" w:customStyle="1" w:styleId="BodyofPaper">
    <w:name w:val="*Body of Paper*"/>
    <w:basedOn w:val="Normal"/>
    <w:link w:val="BodyofPaperChar"/>
    <w:rsid w:val="00357FF9"/>
    <w:pPr>
      <w:spacing w:after="0"/>
      <w:jc w:val="both"/>
    </w:pPr>
    <w:rPr>
      <w:rFonts w:ascii="Times New Roman" w:eastAsia="Times New Roman" w:hAnsi="Times New Roman" w:cs="Times New Roman"/>
      <w:color w:val="auto"/>
      <w:sz w:val="20"/>
    </w:rPr>
  </w:style>
  <w:style w:type="character" w:customStyle="1" w:styleId="BodyofPaperChar">
    <w:name w:val="*Body of Paper* Char"/>
    <w:link w:val="BodyofPaper"/>
    <w:rsid w:val="00357FF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A410A"/>
    <w:pPr>
      <w:spacing w:after="0"/>
    </w:pPr>
    <w:rPr>
      <w:sz w:val="20"/>
    </w:rPr>
  </w:style>
  <w:style w:type="character" w:customStyle="1" w:styleId="FootnoteTextChar">
    <w:name w:val="Footnote Text Char"/>
    <w:basedOn w:val="DefaultParagraphFont"/>
    <w:link w:val="FootnoteText"/>
    <w:uiPriority w:val="99"/>
    <w:semiHidden/>
    <w:rsid w:val="00EA410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10A"/>
    <w:rPr>
      <w:vertAlign w:val="superscript"/>
    </w:rPr>
  </w:style>
  <w:style w:type="paragraph" w:customStyle="1" w:styleId="References">
    <w:name w:val="References"/>
    <w:basedOn w:val="Normal"/>
    <w:rsid w:val="004E3CB0"/>
    <w:pPr>
      <w:spacing w:after="0"/>
      <w:ind w:firstLine="288"/>
      <w:jc w:val="both"/>
    </w:pPr>
    <w:rPr>
      <w:rFonts w:ascii="Times New Roman" w:eastAsia="Times" w:hAnsi="Times New Roman" w:cs="Times New Roman"/>
      <w:color w:val="auto"/>
      <w:sz w:val="18"/>
    </w:rPr>
  </w:style>
  <w:style w:type="character" w:styleId="Hyperlink">
    <w:name w:val="Hyperlink"/>
    <w:uiPriority w:val="99"/>
    <w:rsid w:val="004E3CB0"/>
    <w:rPr>
      <w:color w:val="0000FF"/>
      <w:u w:val="single"/>
    </w:rPr>
  </w:style>
  <w:style w:type="character" w:styleId="FollowedHyperlink">
    <w:name w:val="FollowedHyperlink"/>
    <w:basedOn w:val="DefaultParagraphFont"/>
    <w:uiPriority w:val="99"/>
    <w:semiHidden/>
    <w:unhideWhenUsed/>
    <w:rsid w:val="004E3CB0"/>
    <w:rPr>
      <w:color w:val="954F72" w:themeColor="followedHyperlink"/>
      <w:u w:val="single"/>
    </w:rPr>
  </w:style>
  <w:style w:type="paragraph" w:styleId="Footer">
    <w:name w:val="footer"/>
    <w:basedOn w:val="Normal"/>
    <w:link w:val="FooterChar"/>
    <w:rsid w:val="00AB4365"/>
    <w:pPr>
      <w:tabs>
        <w:tab w:val="center" w:pos="4320"/>
        <w:tab w:val="right" w:pos="864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AB4365"/>
    <w:rPr>
      <w:rFonts w:ascii="Times New Roman" w:eastAsia="Times New Roman" w:hAnsi="Times New Roman" w:cs="Times New Roman"/>
      <w:sz w:val="24"/>
      <w:szCs w:val="24"/>
    </w:rPr>
  </w:style>
  <w:style w:type="paragraph" w:customStyle="1" w:styleId="msonormal0">
    <w:name w:val="msonormal"/>
    <w:basedOn w:val="Normal"/>
    <w:rsid w:val="009041F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5">
    <w:name w:val="xl65"/>
    <w:basedOn w:val="Normal"/>
    <w:rsid w:val="009041F1"/>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6">
    <w:name w:val="xl66"/>
    <w:basedOn w:val="Normal"/>
    <w:rsid w:val="009041F1"/>
    <w:pPr>
      <w:pBdr>
        <w:bottom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67">
    <w:name w:val="xl67"/>
    <w:basedOn w:val="Normal"/>
    <w:rsid w:val="009041F1"/>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4"/>
      <w:szCs w:val="24"/>
    </w:rPr>
  </w:style>
  <w:style w:type="paragraph" w:customStyle="1" w:styleId="xl68">
    <w:name w:val="xl68"/>
    <w:basedOn w:val="Normal"/>
    <w:rsid w:val="009041F1"/>
    <w:pPr>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4"/>
      <w:szCs w:val="24"/>
    </w:rPr>
  </w:style>
  <w:style w:type="paragraph" w:customStyle="1" w:styleId="xl69">
    <w:name w:val="xl69"/>
    <w:basedOn w:val="Normal"/>
    <w:rsid w:val="009041F1"/>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4"/>
      <w:szCs w:val="24"/>
    </w:rPr>
  </w:style>
  <w:style w:type="paragraph" w:customStyle="1" w:styleId="xl70">
    <w:name w:val="xl70"/>
    <w:basedOn w:val="Normal"/>
    <w:rsid w:val="009041F1"/>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1">
    <w:name w:val="xl71"/>
    <w:basedOn w:val="Normal"/>
    <w:rsid w:val="009041F1"/>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2">
    <w:name w:val="xl72"/>
    <w:basedOn w:val="Normal"/>
    <w:rsid w:val="009041F1"/>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wiki/Hom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8721-F9F3-4BB9-BFB9-AAC41042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Pagano, Thomas S (382E)</dc:creator>
  <cp:keywords/>
  <dc:description/>
  <cp:lastModifiedBy>Pagano, Thomas S (382E)</cp:lastModifiedBy>
  <cp:revision>2</cp:revision>
  <dcterms:created xsi:type="dcterms:W3CDTF">2019-01-28T20:58:00Z</dcterms:created>
  <dcterms:modified xsi:type="dcterms:W3CDTF">2019-01-28T20:58:00Z</dcterms:modified>
</cp:coreProperties>
</file>