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4D" w:rsidRDefault="00C57FBC" w:rsidP="000973EE">
      <w:pPr>
        <w:tabs>
          <w:tab w:val="left" w:pos="2160"/>
        </w:tabs>
        <w:ind w:left="2160"/>
      </w:pPr>
      <w:r w:rsidRPr="00C57FBC">
        <w:rPr>
          <w:noProof/>
        </w:rPr>
        <w:pict>
          <v:rect id="Rectangle 7" o:spid="_x0000_s1026" style="position:absolute;left:0;text-align:left;margin-left:-34.95pt;margin-top:-202.2pt;width:124.95pt;height:891.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" fillcolor="#041e70" stroked="f" strokeweight="2pt"/>
        </w:pict>
      </w:r>
    </w:p>
    <w:p w:rsidR="000973EE" w:rsidRPr="000973EE" w:rsidRDefault="000973EE" w:rsidP="000973EE">
      <w:pPr>
        <w:tabs>
          <w:tab w:val="left" w:pos="2160"/>
        </w:tabs>
        <w:ind w:left="2160"/>
      </w:pPr>
      <w:r w:rsidRPr="00AC79D5">
        <w:rPr>
          <w:sz w:val="28"/>
        </w:rPr>
        <w:t>GSICS-</w:t>
      </w:r>
      <w:r>
        <w:rPr>
          <w:sz w:val="28"/>
        </w:rPr>
        <w:t>Reference</w:t>
      </w:r>
    </w:p>
    <w:p w:rsidR="000D694D" w:rsidRPr="000973EE" w:rsidRDefault="000D694D" w:rsidP="000973EE">
      <w:pPr>
        <w:tabs>
          <w:tab w:val="left" w:pos="2160"/>
        </w:tabs>
        <w:ind w:left="2160"/>
      </w:pPr>
    </w:p>
    <w:p w:rsidR="000D694D" w:rsidRDefault="000D694D" w:rsidP="000973EE">
      <w:pPr>
        <w:tabs>
          <w:tab w:val="left" w:pos="2160"/>
        </w:tabs>
        <w:ind w:left="2160"/>
      </w:pPr>
    </w:p>
    <w:p w:rsidR="000973EE" w:rsidRDefault="000973EE" w:rsidP="000973EE">
      <w:pPr>
        <w:tabs>
          <w:tab w:val="left" w:pos="2160"/>
        </w:tabs>
        <w:ind w:left="2160"/>
      </w:pPr>
    </w:p>
    <w:p w:rsidR="000973EE" w:rsidRPr="000973EE" w:rsidRDefault="000973EE" w:rsidP="000973EE">
      <w:pPr>
        <w:tabs>
          <w:tab w:val="left" w:pos="2160"/>
        </w:tabs>
        <w:ind w:left="2160"/>
      </w:pPr>
    </w:p>
    <w:p w:rsidR="000D694D" w:rsidRPr="000973EE" w:rsidRDefault="000D694D" w:rsidP="000973EE">
      <w:pPr>
        <w:tabs>
          <w:tab w:val="left" w:pos="2160"/>
        </w:tabs>
        <w:ind w:left="2160"/>
      </w:pPr>
    </w:p>
    <w:p w:rsidR="000973EE" w:rsidRDefault="000973EE" w:rsidP="000973EE">
      <w:pPr>
        <w:pStyle w:val="Title"/>
        <w:tabs>
          <w:tab w:val="left" w:pos="2160"/>
        </w:tabs>
        <w:ind w:left="2160"/>
      </w:pPr>
    </w:p>
    <w:p w:rsidR="00924FE9" w:rsidRPr="000973EE" w:rsidRDefault="00924FE9" w:rsidP="000973EE">
      <w:pPr>
        <w:pStyle w:val="Title"/>
        <w:tabs>
          <w:tab w:val="left" w:pos="2160"/>
        </w:tabs>
        <w:ind w:left="2160"/>
      </w:pPr>
      <w:r w:rsidRPr="000973EE">
        <w:t xml:space="preserve">Global Satellite </w:t>
      </w:r>
      <w:r w:rsidRPr="000973EE">
        <w:br/>
        <w:t>Inter-Calibration System</w:t>
      </w:r>
    </w:p>
    <w:p w:rsidR="000973EE" w:rsidRPr="000973EE" w:rsidRDefault="000D694D" w:rsidP="000973EE">
      <w:pPr>
        <w:pStyle w:val="Title"/>
        <w:tabs>
          <w:tab w:val="left" w:pos="2160"/>
        </w:tabs>
        <w:ind w:left="2160"/>
      </w:pPr>
      <w:r w:rsidRPr="000973EE">
        <w:br/>
      </w:r>
      <w:r w:rsidR="00D83DF2">
        <w:t>Instrument p</w:t>
      </w:r>
      <w:r w:rsidR="00D83DF2" w:rsidRPr="00D83DF2">
        <w:t xml:space="preserve">re-launch calibration </w:t>
      </w:r>
      <w:r w:rsidR="00D83DF2">
        <w:t>&amp;</w:t>
      </w:r>
      <w:r w:rsidR="00D83DF2" w:rsidRPr="00D83DF2">
        <w:t xml:space="preserve"> characterization data requirements</w:t>
      </w:r>
    </w:p>
    <w:p w:rsidR="000973EE" w:rsidRPr="000973EE" w:rsidRDefault="000973EE" w:rsidP="000973EE">
      <w:pPr>
        <w:pStyle w:val="Title"/>
        <w:tabs>
          <w:tab w:val="left" w:pos="2160"/>
        </w:tabs>
        <w:ind w:left="2160"/>
      </w:pPr>
    </w:p>
    <w:p w:rsidR="000D694D" w:rsidRPr="000973EE" w:rsidRDefault="000D694D" w:rsidP="000973EE">
      <w:pPr>
        <w:tabs>
          <w:tab w:val="left" w:pos="2160"/>
        </w:tabs>
        <w:ind w:left="2160"/>
      </w:pPr>
    </w:p>
    <w:p w:rsidR="000D694D" w:rsidRPr="000973EE" w:rsidRDefault="000D694D" w:rsidP="000973EE">
      <w:pPr>
        <w:pStyle w:val="Subtitle"/>
        <w:tabs>
          <w:tab w:val="left" w:pos="2160"/>
        </w:tabs>
        <w:ind w:left="2160"/>
      </w:pPr>
    </w:p>
    <w:p w:rsidR="00924FE9" w:rsidRPr="000973EE" w:rsidRDefault="00924FE9" w:rsidP="000973EE">
      <w:pPr>
        <w:tabs>
          <w:tab w:val="left" w:pos="2160"/>
        </w:tabs>
        <w:ind w:left="2160"/>
      </w:pPr>
    </w:p>
    <w:p w:rsidR="000D694D" w:rsidRPr="000973EE" w:rsidRDefault="000D694D" w:rsidP="000973EE">
      <w:pPr>
        <w:pStyle w:val="Subtitle"/>
        <w:tabs>
          <w:tab w:val="left" w:pos="2160"/>
        </w:tabs>
        <w:ind w:left="2160"/>
      </w:pPr>
    </w:p>
    <w:p w:rsidR="000973EE" w:rsidRPr="007C7481" w:rsidRDefault="000D694D" w:rsidP="000973EE">
      <w:pPr>
        <w:pStyle w:val="Subtitle"/>
        <w:tabs>
          <w:tab w:val="left" w:pos="2160"/>
        </w:tabs>
        <w:ind w:left="2160"/>
      </w:pPr>
      <w:r w:rsidRPr="007C7481">
        <w:t xml:space="preserve">Version </w:t>
      </w:r>
      <w:r w:rsidR="00D83DF2">
        <w:t>01</w:t>
      </w:r>
    </w:p>
    <w:p w:rsidR="000D694D" w:rsidRPr="007C7481" w:rsidRDefault="00D83DF2" w:rsidP="000973EE">
      <w:pPr>
        <w:pStyle w:val="Subtitle"/>
        <w:tabs>
          <w:tab w:val="left" w:pos="2160"/>
        </w:tabs>
        <w:ind w:left="2160"/>
      </w:pPr>
      <w:r>
        <w:t>May 2016</w:t>
      </w:r>
      <w:r w:rsidR="000973EE" w:rsidRPr="000973EE">
        <w:rPr>
          <w:noProof/>
        </w:rPr>
        <w:t xml:space="preserve"> </w:t>
      </w:r>
    </w:p>
    <w:p w:rsidR="000D694D" w:rsidRDefault="00C57FBC" w:rsidP="000973EE">
      <w:pPr>
        <w:pStyle w:val="Heading1"/>
        <w:tabs>
          <w:tab w:val="left" w:pos="2160"/>
        </w:tabs>
        <w:ind w:left="720"/>
      </w:pPr>
      <w:bookmarkStart w:id="0" w:name="_Toc419225456"/>
      <w:r w:rsidRPr="00C57FBC">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28.6pt;margin-top:28.65pt;width:104.8pt;height:92.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" fillcolor="window">
            <v:textbox>
              <w:txbxContent>
                <w:p w:rsidR="000973EE" w:rsidRDefault="000973EE" w:rsidP="000973EE">
                  <w:pPr>
                    <w:jc w:val="center"/>
                  </w:pPr>
                  <w:r>
                    <w:t>Optional logo of the entity providing/ maintaining the document</w:t>
                  </w:r>
                </w:p>
              </w:txbxContent>
            </v:textbox>
          </v:shape>
        </w:pict>
      </w:r>
      <w:bookmarkEnd w:id="0"/>
    </w:p>
    <w:p w:rsidR="000973EE" w:rsidRDefault="000973EE" w:rsidP="000973EE">
      <w:pPr>
        <w:tabs>
          <w:tab w:val="left" w:pos="2160"/>
        </w:tabs>
      </w:pPr>
    </w:p>
    <w:p w:rsidR="000973EE" w:rsidRDefault="000973EE" w:rsidP="000973EE">
      <w:pPr>
        <w:sectPr w:rsidR="000973EE" w:rsidSect="000973EE">
          <w:headerReference w:type="default" r:id="rId8"/>
          <w:footerReference w:type="default" r:id="rId9"/>
          <w:headerReference w:type="first" r:id="rId10"/>
          <w:footerReference w:type="first" r:id="rId11"/>
          <w:pgSz w:w="12240" w:h="15840"/>
          <w:pgMar w:top="288" w:right="720" w:bottom="144" w:left="720" w:header="720" w:footer="720" w:gutter="0"/>
          <w:cols w:space="720"/>
          <w:titlePg/>
          <w:docGrid w:linePitch="360"/>
        </w:sectPr>
      </w:pPr>
    </w:p>
    <w:p w:rsidR="000D694D" w:rsidRDefault="000D694D" w:rsidP="000D694D">
      <w:pPr>
        <w:pStyle w:val="Subtitle"/>
      </w:pPr>
      <w:r>
        <w:lastRenderedPageBreak/>
        <w:t>RECORD OF DOCUMENT CHANGES</w:t>
      </w:r>
    </w:p>
    <w:p w:rsidR="000D694D" w:rsidRPr="00AC79D5" w:rsidRDefault="000D694D" w:rsidP="000D694D"/>
    <w:tbl>
      <w:tblPr>
        <w:tblStyle w:val="TableGrid"/>
        <w:tblW w:w="0" w:type="auto"/>
        <w:tblLook w:val="04A0"/>
      </w:tblPr>
      <w:tblGrid>
        <w:gridCol w:w="1217"/>
        <w:gridCol w:w="1231"/>
        <w:gridCol w:w="3870"/>
        <w:gridCol w:w="1620"/>
        <w:gridCol w:w="1638"/>
      </w:tblGrid>
      <w:tr w:rsidR="000D694D" w:rsidRPr="00AC79D5" w:rsidTr="00503432">
        <w:tc>
          <w:tcPr>
            <w:tcW w:w="1217" w:type="dxa"/>
          </w:tcPr>
          <w:p w:rsidR="000D694D" w:rsidRPr="00AC79D5" w:rsidRDefault="000D694D" w:rsidP="00503432">
            <w:pPr>
              <w:rPr>
                <w:b/>
              </w:rPr>
            </w:pPr>
            <w:r w:rsidRPr="00AC79D5">
              <w:rPr>
                <w:b/>
              </w:rPr>
              <w:t>Version</w:t>
            </w:r>
          </w:p>
        </w:tc>
        <w:tc>
          <w:tcPr>
            <w:tcW w:w="1231" w:type="dxa"/>
          </w:tcPr>
          <w:p w:rsidR="000D694D" w:rsidRPr="00AC79D5" w:rsidRDefault="000D694D" w:rsidP="00503432">
            <w:pPr>
              <w:rPr>
                <w:b/>
              </w:rPr>
            </w:pPr>
            <w:r w:rsidRPr="00AC79D5">
              <w:rPr>
                <w:b/>
              </w:rPr>
              <w:t>Date</w:t>
            </w:r>
          </w:p>
        </w:tc>
        <w:tc>
          <w:tcPr>
            <w:tcW w:w="3870" w:type="dxa"/>
          </w:tcPr>
          <w:p w:rsidR="000D694D" w:rsidRPr="00AC79D5" w:rsidRDefault="000D694D" w:rsidP="00503432">
            <w:pPr>
              <w:rPr>
                <w:b/>
              </w:rPr>
            </w:pPr>
            <w:r w:rsidRPr="00AC79D5">
              <w:rPr>
                <w:b/>
              </w:rPr>
              <w:t>Nature of change</w:t>
            </w:r>
          </w:p>
        </w:tc>
        <w:tc>
          <w:tcPr>
            <w:tcW w:w="1620" w:type="dxa"/>
          </w:tcPr>
          <w:p w:rsidR="000D694D" w:rsidRPr="00AC79D5" w:rsidRDefault="000D694D" w:rsidP="00503432">
            <w:pPr>
              <w:rPr>
                <w:b/>
              </w:rPr>
            </w:pPr>
            <w:r w:rsidRPr="00AC79D5">
              <w:rPr>
                <w:b/>
              </w:rPr>
              <w:t>Done by</w:t>
            </w:r>
          </w:p>
        </w:tc>
        <w:tc>
          <w:tcPr>
            <w:tcW w:w="1638" w:type="dxa"/>
          </w:tcPr>
          <w:p w:rsidR="000D694D" w:rsidRPr="00AC79D5" w:rsidRDefault="000D694D" w:rsidP="00503432">
            <w:pPr>
              <w:rPr>
                <w:b/>
              </w:rPr>
            </w:pPr>
            <w:r w:rsidRPr="00AC79D5">
              <w:rPr>
                <w:b/>
              </w:rPr>
              <w:t xml:space="preserve">Approved </w:t>
            </w:r>
          </w:p>
        </w:tc>
      </w:tr>
      <w:tr w:rsidR="000D694D" w:rsidRPr="00AC79D5" w:rsidTr="00503432">
        <w:tc>
          <w:tcPr>
            <w:tcW w:w="1217" w:type="dxa"/>
          </w:tcPr>
          <w:p w:rsidR="000D694D" w:rsidRPr="00AC79D5" w:rsidRDefault="000D694D" w:rsidP="00503432">
            <w:r w:rsidRPr="00AC79D5">
              <w:t>1.0</w:t>
            </w:r>
          </w:p>
        </w:tc>
        <w:tc>
          <w:tcPr>
            <w:tcW w:w="1231" w:type="dxa"/>
          </w:tcPr>
          <w:p w:rsidR="000D694D" w:rsidRPr="00AC79D5" w:rsidRDefault="000D694D" w:rsidP="00503432"/>
        </w:tc>
        <w:tc>
          <w:tcPr>
            <w:tcW w:w="3870" w:type="dxa"/>
          </w:tcPr>
          <w:p w:rsidR="000D694D" w:rsidRPr="00AC79D5" w:rsidRDefault="000D694D" w:rsidP="00503432">
            <w:r w:rsidRPr="00AC79D5">
              <w:t>Creation</w:t>
            </w:r>
          </w:p>
        </w:tc>
        <w:tc>
          <w:tcPr>
            <w:tcW w:w="1620" w:type="dxa"/>
          </w:tcPr>
          <w:p w:rsidR="000D694D" w:rsidRPr="00AC79D5" w:rsidRDefault="00D83DF2" w:rsidP="00503432">
            <w:r>
              <w:t>Tim Hewison</w:t>
            </w:r>
          </w:p>
        </w:tc>
        <w:tc>
          <w:tcPr>
            <w:tcW w:w="1638" w:type="dxa"/>
          </w:tcPr>
          <w:p w:rsidR="000D694D" w:rsidRPr="00AC79D5" w:rsidRDefault="000D694D" w:rsidP="00503432"/>
        </w:tc>
      </w:tr>
      <w:tr w:rsidR="000D694D" w:rsidRPr="00AC79D5" w:rsidTr="00503432">
        <w:tc>
          <w:tcPr>
            <w:tcW w:w="1217" w:type="dxa"/>
          </w:tcPr>
          <w:p w:rsidR="000D694D" w:rsidRPr="00AC79D5" w:rsidRDefault="000D694D" w:rsidP="00503432"/>
        </w:tc>
        <w:tc>
          <w:tcPr>
            <w:tcW w:w="1231" w:type="dxa"/>
          </w:tcPr>
          <w:p w:rsidR="000D694D" w:rsidRPr="00AC79D5" w:rsidRDefault="000D694D" w:rsidP="00503432"/>
        </w:tc>
        <w:tc>
          <w:tcPr>
            <w:tcW w:w="3870" w:type="dxa"/>
          </w:tcPr>
          <w:p w:rsidR="000D694D" w:rsidRPr="00AC79D5" w:rsidRDefault="000D694D" w:rsidP="00503432"/>
        </w:tc>
        <w:tc>
          <w:tcPr>
            <w:tcW w:w="1620" w:type="dxa"/>
          </w:tcPr>
          <w:p w:rsidR="000D694D" w:rsidRPr="00AC79D5" w:rsidRDefault="000D694D" w:rsidP="00503432"/>
        </w:tc>
        <w:tc>
          <w:tcPr>
            <w:tcW w:w="1638" w:type="dxa"/>
          </w:tcPr>
          <w:p w:rsidR="000D694D" w:rsidRPr="00AC79D5" w:rsidRDefault="000D694D" w:rsidP="00503432"/>
        </w:tc>
      </w:tr>
      <w:tr w:rsidR="000D694D" w:rsidRPr="00AC79D5" w:rsidTr="00503432">
        <w:tc>
          <w:tcPr>
            <w:tcW w:w="1217" w:type="dxa"/>
          </w:tcPr>
          <w:p w:rsidR="000D694D" w:rsidRPr="00AC79D5" w:rsidRDefault="000D694D" w:rsidP="00503432"/>
        </w:tc>
        <w:tc>
          <w:tcPr>
            <w:tcW w:w="1231" w:type="dxa"/>
          </w:tcPr>
          <w:p w:rsidR="000D694D" w:rsidRPr="00AC79D5" w:rsidRDefault="000D694D" w:rsidP="00503432"/>
        </w:tc>
        <w:tc>
          <w:tcPr>
            <w:tcW w:w="3870" w:type="dxa"/>
          </w:tcPr>
          <w:p w:rsidR="000D694D" w:rsidRPr="00AC79D5" w:rsidRDefault="000D694D" w:rsidP="00503432"/>
        </w:tc>
        <w:tc>
          <w:tcPr>
            <w:tcW w:w="1620" w:type="dxa"/>
          </w:tcPr>
          <w:p w:rsidR="000D694D" w:rsidRPr="00AC79D5" w:rsidRDefault="000D694D" w:rsidP="00503432"/>
        </w:tc>
        <w:tc>
          <w:tcPr>
            <w:tcW w:w="1638" w:type="dxa"/>
          </w:tcPr>
          <w:p w:rsidR="000D694D" w:rsidRPr="00AC79D5" w:rsidRDefault="000D694D" w:rsidP="00503432"/>
        </w:tc>
      </w:tr>
      <w:tr w:rsidR="000D694D" w:rsidRPr="00AC79D5" w:rsidTr="00503432">
        <w:tc>
          <w:tcPr>
            <w:tcW w:w="1217" w:type="dxa"/>
          </w:tcPr>
          <w:p w:rsidR="000D694D" w:rsidRPr="00AC79D5" w:rsidRDefault="000D694D" w:rsidP="00503432"/>
        </w:tc>
        <w:tc>
          <w:tcPr>
            <w:tcW w:w="1231" w:type="dxa"/>
          </w:tcPr>
          <w:p w:rsidR="000D694D" w:rsidRPr="00AC79D5" w:rsidRDefault="000D694D" w:rsidP="00503432"/>
        </w:tc>
        <w:tc>
          <w:tcPr>
            <w:tcW w:w="3870" w:type="dxa"/>
          </w:tcPr>
          <w:p w:rsidR="000D694D" w:rsidRPr="00AC79D5" w:rsidRDefault="000D694D" w:rsidP="00503432"/>
        </w:tc>
        <w:tc>
          <w:tcPr>
            <w:tcW w:w="1620" w:type="dxa"/>
          </w:tcPr>
          <w:p w:rsidR="000D694D" w:rsidRPr="00AC79D5" w:rsidRDefault="000D694D" w:rsidP="00503432"/>
        </w:tc>
        <w:tc>
          <w:tcPr>
            <w:tcW w:w="1638" w:type="dxa"/>
          </w:tcPr>
          <w:p w:rsidR="000D694D" w:rsidRPr="00AC79D5" w:rsidRDefault="000D694D" w:rsidP="00503432"/>
        </w:tc>
      </w:tr>
    </w:tbl>
    <w:p w:rsidR="000D694D" w:rsidRDefault="000D694D" w:rsidP="000D694D">
      <w:pPr>
        <w:pStyle w:val="Heading1"/>
      </w:pPr>
    </w:p>
    <w:p w:rsidR="00DD0FD8" w:rsidRDefault="00DD0FD8" w:rsidP="000D694D"/>
    <w:p w:rsidR="00DD0FD8" w:rsidRDefault="00DD0FD8" w:rsidP="000D694D"/>
    <w:p w:rsidR="00DD0FD8" w:rsidRDefault="00DD0FD8" w:rsidP="000D694D"/>
    <w:p w:rsidR="00DD0FD8" w:rsidRDefault="00DD0FD8" w:rsidP="000D694D"/>
    <w:p w:rsidR="00DD0FD8" w:rsidRDefault="00DD0FD8" w:rsidP="000D694D"/>
    <w:p w:rsidR="00DD0FD8" w:rsidRDefault="00DD0FD8" w:rsidP="000D694D"/>
    <w:p w:rsidR="00DD0FD8" w:rsidRDefault="00DD0FD8" w:rsidP="000D694D"/>
    <w:p w:rsidR="00DD0FD8" w:rsidRDefault="00DD0FD8" w:rsidP="000D694D"/>
    <w:p w:rsidR="00DD0FD8" w:rsidRDefault="00DD0FD8" w:rsidP="000D694D"/>
    <w:p w:rsidR="00DD0FD8" w:rsidRDefault="00DD0FD8" w:rsidP="000D694D">
      <w:r>
        <w:t>Legal notice if relevant:</w:t>
      </w:r>
    </w:p>
    <w:p w:rsidR="00DD0FD8" w:rsidRDefault="00DD0FD8" w:rsidP="000D694D">
      <w:r>
        <w:t>Disclaimer,</w:t>
      </w:r>
    </w:p>
    <w:p w:rsidR="00DD0FD8" w:rsidRDefault="00DD0FD8" w:rsidP="000D694D">
      <w:r>
        <w:t>Copyright</w:t>
      </w:r>
    </w:p>
    <w:p w:rsidR="00DD0FD8" w:rsidRDefault="006C3B95" w:rsidP="000D694D">
      <w:proofErr w:type="gramStart"/>
      <w:r>
        <w:t xml:space="preserve">Credit </w:t>
      </w:r>
      <w:r w:rsidR="004258CD">
        <w:t>–</w:t>
      </w:r>
      <w:r>
        <w:t xml:space="preserve"> </w:t>
      </w:r>
      <w:r w:rsidR="004258CD">
        <w:t>With many thanks to the contributors from the GSICS Research Working Group and Exec Panel.</w:t>
      </w:r>
      <w:proofErr w:type="gramEnd"/>
    </w:p>
    <w:p w:rsidR="00DD0FD8" w:rsidRDefault="00DD0FD8" w:rsidP="000D694D">
      <w:r>
        <w:t xml:space="preserve"> </w:t>
      </w:r>
    </w:p>
    <w:p w:rsidR="000D694D" w:rsidRDefault="00DD0FD8" w:rsidP="000D694D">
      <w:proofErr w:type="spellStart"/>
      <w:r>
        <w:t>DoI</w:t>
      </w:r>
      <w:proofErr w:type="spellEnd"/>
      <w:r>
        <w:t xml:space="preserve">   (if relevant)</w:t>
      </w:r>
      <w:r w:rsidR="000D694D">
        <w:br w:type="page"/>
      </w:r>
    </w:p>
    <w:p w:rsidR="000D694D" w:rsidRDefault="000D694D" w:rsidP="000D694D">
      <w:pPr>
        <w:pStyle w:val="Heading1"/>
        <w:sectPr w:rsidR="000D694D" w:rsidSect="007C7481">
          <w:footerReference w:type="default" r:id="rId12"/>
          <w:headerReference w:type="first" r:id="rId13"/>
          <w:pgSz w:w="12240" w:h="15840"/>
          <w:pgMar w:top="1440" w:right="1440" w:bottom="1440" w:left="1440" w:header="720" w:footer="720" w:gutter="0"/>
          <w:cols w:space="720"/>
          <w:docGrid w:linePitch="360"/>
        </w:sectPr>
      </w:pPr>
    </w:p>
    <w:p w:rsidR="000D694D" w:rsidRPr="003A0B3B" w:rsidRDefault="005B422C" w:rsidP="000D694D">
      <w:pPr>
        <w:pStyle w:val="Heading1"/>
        <w:jc w:val="center"/>
      </w:pPr>
      <w:bookmarkStart w:id="1" w:name="_Toc419225457"/>
      <w:r w:rsidRPr="005B422C">
        <w:lastRenderedPageBreak/>
        <w:t>Instrument pre-launch calibration &amp; characterization data requirements</w:t>
      </w:r>
      <w:bookmarkEnd w:id="1"/>
    </w:p>
    <w:p w:rsidR="000D694D" w:rsidRPr="003A0B3B" w:rsidRDefault="000D694D" w:rsidP="000D694D"/>
    <w:p w:rsidR="005B422C" w:rsidRDefault="005B422C" w:rsidP="005B422C">
      <w:r>
        <w:t xml:space="preserve">Satellite remote sensing instrument pre-launch calibration and characterization data are critical for the production of calibrated and </w:t>
      </w:r>
      <w:proofErr w:type="spellStart"/>
      <w:r>
        <w:t>geolocated</w:t>
      </w:r>
      <w:proofErr w:type="spellEnd"/>
      <w:r>
        <w:t xml:space="preserve"> Level 1 data and their processing by NWP and climate applications.  Satellite instrument prelaunch testing must strive to reproduce, as closely as possible, instrument operation in the predicted on-orbit environment.  This is also k</w:t>
      </w:r>
      <w:r>
        <w:t xml:space="preserve">nown as “testing as you fly.”  </w:t>
      </w:r>
    </w:p>
    <w:p w:rsidR="000D694D" w:rsidRDefault="005B422C" w:rsidP="005B422C">
      <w:r>
        <w:t xml:space="preserve">The latest generations of satellite instruments employ increasingly complex focal planes, often with two dimensional detector arrays and innovative read-out schemes producing large amounts of data. While acknowledging this increasing complexity, as well as the contractual constraints </w:t>
      </w:r>
      <w:proofErr w:type="spellStart"/>
      <w:r>
        <w:t>vis</w:t>
      </w:r>
      <w:proofErr w:type="spellEnd"/>
      <w:r>
        <w:t>-a-</w:t>
      </w:r>
      <w:proofErr w:type="spellStart"/>
      <w:r>
        <w:t>vis</w:t>
      </w:r>
      <w:proofErr w:type="spellEnd"/>
      <w:r>
        <w:t xml:space="preserve"> industrial parties involved, making the calibration and characterization data produced by this testing available to the user community should allow the instrument behavior to be fully understood by the time of launch and facilitate proper and efficient use by the remote sensing community, meeting as early as possible the on-orbit performance requirements.</w:t>
      </w:r>
    </w:p>
    <w:p w:rsidR="005B422C" w:rsidRDefault="005B422C" w:rsidP="005B422C">
      <w:r w:rsidRPr="005B422C">
        <w:t>The following data should be provided before launch a</w:t>
      </w:r>
      <w:r w:rsidR="006C3B95">
        <w:t>nd updated during commissioning:</w:t>
      </w:r>
    </w:p>
    <w:p w:rsidR="005B422C" w:rsidRPr="005B422C" w:rsidRDefault="005B422C" w:rsidP="005B422C">
      <w:pPr>
        <w:pStyle w:val="ListParagraph"/>
        <w:numPr>
          <w:ilvl w:val="0"/>
          <w:numId w:val="28"/>
        </w:numPr>
        <w:spacing w:after="0" w:line="240" w:lineRule="auto"/>
      </w:pPr>
      <w:r w:rsidRPr="005B422C">
        <w:rPr>
          <w:szCs w:val="24"/>
          <w:u w:val="single"/>
        </w:rPr>
        <w:t>To be made available to users 2-3 years before launch to aid user preparation</w:t>
      </w:r>
      <w:r w:rsidRPr="005B422C">
        <w:rPr>
          <w:szCs w:val="24"/>
        </w:rPr>
        <w:t>:</w:t>
      </w:r>
    </w:p>
    <w:p w:rsidR="005B422C" w:rsidRPr="005B422C" w:rsidRDefault="005B422C" w:rsidP="005B422C">
      <w:pPr>
        <w:numPr>
          <w:ilvl w:val="0"/>
          <w:numId w:val="27"/>
        </w:numPr>
        <w:spacing w:before="100" w:beforeAutospacing="1" w:after="100" w:afterAutospacing="1" w:line="240" w:lineRule="auto"/>
        <w:textAlignment w:val="baseline"/>
        <w:rPr>
          <w:color w:val="000000"/>
          <w:lang w:val="en-GB"/>
        </w:rPr>
      </w:pPr>
      <w:r w:rsidRPr="005B422C">
        <w:rPr>
          <w:color w:val="000000"/>
          <w:szCs w:val="24"/>
          <w:lang w:val="en-GB"/>
        </w:rPr>
        <w:t>Channel naming, numbering convention and channel science application(s)</w:t>
      </w:r>
    </w:p>
    <w:p w:rsidR="005B422C" w:rsidRPr="005B422C" w:rsidRDefault="005B422C" w:rsidP="005B422C">
      <w:pPr>
        <w:numPr>
          <w:ilvl w:val="0"/>
          <w:numId w:val="27"/>
        </w:numPr>
        <w:spacing w:before="100" w:beforeAutospacing="1" w:after="100" w:afterAutospacing="1" w:line="240" w:lineRule="auto"/>
        <w:textAlignment w:val="baseline"/>
        <w:rPr>
          <w:color w:val="000000"/>
          <w:lang w:val="en-GB"/>
        </w:rPr>
      </w:pPr>
      <w:r w:rsidRPr="005B422C">
        <w:rPr>
          <w:color w:val="000000"/>
          <w:szCs w:val="24"/>
          <w:lang w:val="en-GB"/>
        </w:rPr>
        <w:t xml:space="preserve">Spectral Response Function (SRF) (relative Radiometric Spectral </w:t>
      </w:r>
      <w:proofErr w:type="spellStart"/>
      <w:r w:rsidRPr="005B422C">
        <w:rPr>
          <w:color w:val="000000"/>
          <w:szCs w:val="24"/>
          <w:lang w:val="en-GB"/>
        </w:rPr>
        <w:t>Responsivity</w:t>
      </w:r>
      <w:proofErr w:type="spellEnd"/>
      <w:r w:rsidRPr="005B422C">
        <w:rPr>
          <w:color w:val="000000"/>
          <w:szCs w:val="24"/>
          <w:lang w:val="en-GB"/>
        </w:rPr>
        <w:t xml:space="preserve"> (RSR))</w:t>
      </w:r>
    </w:p>
    <w:p w:rsidR="005B422C" w:rsidRPr="005B422C" w:rsidRDefault="005B422C" w:rsidP="005B422C">
      <w:pPr>
        <w:numPr>
          <w:ilvl w:val="1"/>
          <w:numId w:val="27"/>
        </w:numPr>
        <w:spacing w:before="100" w:beforeAutospacing="1" w:after="100" w:afterAutospacing="1" w:line="240" w:lineRule="auto"/>
        <w:textAlignment w:val="baseline"/>
        <w:rPr>
          <w:color w:val="000000"/>
          <w:lang w:val="en-GB"/>
        </w:rPr>
      </w:pPr>
      <w:r w:rsidRPr="005B422C">
        <w:rPr>
          <w:color w:val="000000"/>
          <w:szCs w:val="24"/>
          <w:lang w:val="en-GB"/>
        </w:rPr>
        <w:t>Channel central frequencies/wavelengths and bandwidths (full width half max power)</w:t>
      </w:r>
    </w:p>
    <w:p w:rsidR="005B422C" w:rsidRPr="005B422C" w:rsidRDefault="005B422C" w:rsidP="005B422C">
      <w:pPr>
        <w:numPr>
          <w:ilvl w:val="0"/>
          <w:numId w:val="27"/>
        </w:numPr>
        <w:spacing w:before="100" w:beforeAutospacing="1" w:after="100" w:afterAutospacing="1" w:line="240" w:lineRule="auto"/>
        <w:textAlignment w:val="baseline"/>
        <w:rPr>
          <w:color w:val="000000"/>
          <w:lang w:val="en-GB"/>
        </w:rPr>
      </w:pPr>
      <w:r w:rsidRPr="005B422C">
        <w:rPr>
          <w:color w:val="000000"/>
          <w:szCs w:val="24"/>
          <w:lang w:val="en-GB"/>
        </w:rPr>
        <w:t>Pixel sampling distance/time intervals</w:t>
      </w:r>
    </w:p>
    <w:p w:rsidR="005B422C" w:rsidRPr="005B422C" w:rsidRDefault="005B422C" w:rsidP="005B422C">
      <w:pPr>
        <w:numPr>
          <w:ilvl w:val="0"/>
          <w:numId w:val="27"/>
        </w:numPr>
        <w:spacing w:before="100" w:beforeAutospacing="1" w:after="100" w:afterAutospacing="1" w:line="240" w:lineRule="auto"/>
        <w:textAlignment w:val="baseline"/>
        <w:rPr>
          <w:color w:val="000000"/>
          <w:lang w:val="en-GB"/>
        </w:rPr>
      </w:pPr>
      <w:r w:rsidRPr="005B422C">
        <w:rPr>
          <w:color w:val="000000"/>
          <w:szCs w:val="24"/>
          <w:lang w:val="en-GB"/>
        </w:rPr>
        <w:t xml:space="preserve">System level instrument noise (i.e. </w:t>
      </w:r>
      <w:proofErr w:type="spellStart"/>
      <w:r w:rsidRPr="005B422C">
        <w:rPr>
          <w:color w:val="000000"/>
          <w:szCs w:val="24"/>
          <w:lang w:val="en-GB"/>
        </w:rPr>
        <w:t>NEdL</w:t>
      </w:r>
      <w:proofErr w:type="spellEnd"/>
      <w:r w:rsidRPr="005B422C">
        <w:rPr>
          <w:color w:val="000000"/>
          <w:szCs w:val="24"/>
          <w:lang w:val="en-GB"/>
        </w:rPr>
        <w:t xml:space="preserve">, </w:t>
      </w:r>
      <w:proofErr w:type="spellStart"/>
      <w:r w:rsidRPr="005B422C">
        <w:rPr>
          <w:color w:val="000000"/>
          <w:szCs w:val="24"/>
          <w:lang w:val="en-GB"/>
        </w:rPr>
        <w:t>NEdT</w:t>
      </w:r>
      <w:proofErr w:type="spellEnd"/>
      <w:r w:rsidRPr="005B422C">
        <w:rPr>
          <w:color w:val="000000"/>
          <w:szCs w:val="24"/>
          <w:lang w:val="en-GB"/>
        </w:rPr>
        <w:t>), including calibration noise, as a function of instrument parameters (temperatures and voltages) – and reference scenes at which they are valid</w:t>
      </w:r>
    </w:p>
    <w:p w:rsidR="005B422C" w:rsidRPr="005B422C" w:rsidRDefault="005B422C" w:rsidP="005B422C">
      <w:pPr>
        <w:numPr>
          <w:ilvl w:val="0"/>
          <w:numId w:val="27"/>
        </w:numPr>
        <w:spacing w:before="100" w:beforeAutospacing="1" w:after="100" w:afterAutospacing="1" w:line="240" w:lineRule="auto"/>
        <w:textAlignment w:val="baseline"/>
        <w:rPr>
          <w:color w:val="000000"/>
          <w:lang w:val="en-GB"/>
        </w:rPr>
      </w:pPr>
      <w:r w:rsidRPr="005B422C">
        <w:rPr>
          <w:color w:val="000000"/>
          <w:szCs w:val="24"/>
          <w:lang w:val="en-GB"/>
        </w:rPr>
        <w:t>Radiometric calibration and characterization:</w:t>
      </w:r>
    </w:p>
    <w:p w:rsidR="005B422C" w:rsidRPr="005B422C" w:rsidRDefault="005B422C" w:rsidP="005B422C">
      <w:pPr>
        <w:numPr>
          <w:ilvl w:val="1"/>
          <w:numId w:val="27"/>
        </w:numPr>
        <w:spacing w:before="100" w:beforeAutospacing="1" w:after="100" w:afterAutospacing="1" w:line="240" w:lineRule="auto"/>
        <w:textAlignment w:val="baseline"/>
        <w:rPr>
          <w:color w:val="000000"/>
          <w:lang w:val="en-GB"/>
        </w:rPr>
      </w:pPr>
      <w:r w:rsidRPr="005B422C">
        <w:rPr>
          <w:color w:val="000000"/>
          <w:szCs w:val="24"/>
          <w:lang w:val="en-GB"/>
        </w:rPr>
        <w:t>Polarisation sensitivity and response versus scan angle</w:t>
      </w:r>
    </w:p>
    <w:p w:rsidR="005B422C" w:rsidRPr="005B422C" w:rsidRDefault="005B422C" w:rsidP="005B422C">
      <w:pPr>
        <w:numPr>
          <w:ilvl w:val="1"/>
          <w:numId w:val="27"/>
        </w:numPr>
        <w:spacing w:before="100" w:beforeAutospacing="1" w:after="100" w:afterAutospacing="1" w:line="240" w:lineRule="auto"/>
        <w:textAlignment w:val="baseline"/>
        <w:rPr>
          <w:color w:val="000000"/>
          <w:lang w:val="en-GB"/>
        </w:rPr>
      </w:pPr>
      <w:r w:rsidRPr="005B422C">
        <w:rPr>
          <w:color w:val="000000"/>
          <w:szCs w:val="24"/>
          <w:lang w:val="en-GB"/>
        </w:rPr>
        <w:t>Dynamic range, linearity, quantisation</w:t>
      </w:r>
    </w:p>
    <w:p w:rsidR="005B422C" w:rsidRPr="005B422C" w:rsidRDefault="005B422C" w:rsidP="005B422C">
      <w:pPr>
        <w:numPr>
          <w:ilvl w:val="0"/>
          <w:numId w:val="27"/>
        </w:numPr>
        <w:spacing w:before="100" w:beforeAutospacing="1" w:after="100" w:afterAutospacing="1" w:line="240" w:lineRule="auto"/>
        <w:textAlignment w:val="baseline"/>
        <w:rPr>
          <w:color w:val="000000"/>
          <w:lang w:val="en-GB"/>
        </w:rPr>
      </w:pPr>
      <w:r w:rsidRPr="005B422C">
        <w:rPr>
          <w:color w:val="000000"/>
          <w:szCs w:val="24"/>
          <w:lang w:val="en-GB"/>
        </w:rPr>
        <w:t>Expected mission and instrument lifetimes</w:t>
      </w:r>
    </w:p>
    <w:p w:rsidR="005B422C" w:rsidRPr="005B422C" w:rsidRDefault="005B422C" w:rsidP="005B422C">
      <w:pPr>
        <w:pStyle w:val="ListParagraph"/>
        <w:numPr>
          <w:ilvl w:val="0"/>
          <w:numId w:val="28"/>
        </w:numPr>
        <w:spacing w:after="0" w:line="240" w:lineRule="auto"/>
      </w:pPr>
      <w:r w:rsidRPr="005B422C">
        <w:rPr>
          <w:szCs w:val="24"/>
          <w:u w:val="single"/>
        </w:rPr>
        <w:t>To be provided 6 months before launch</w:t>
      </w:r>
      <w:r w:rsidRPr="005B422C">
        <w:rPr>
          <w:szCs w:val="24"/>
        </w:rPr>
        <w:t>:</w:t>
      </w:r>
    </w:p>
    <w:p w:rsidR="005B422C" w:rsidRPr="005B422C" w:rsidRDefault="005B422C" w:rsidP="005B422C">
      <w:pPr>
        <w:numPr>
          <w:ilvl w:val="0"/>
          <w:numId w:val="27"/>
        </w:numPr>
        <w:spacing w:before="100" w:beforeAutospacing="1" w:after="100" w:afterAutospacing="1" w:line="240" w:lineRule="auto"/>
        <w:textAlignment w:val="baseline"/>
        <w:rPr>
          <w:color w:val="000000"/>
          <w:lang w:val="en-GB"/>
        </w:rPr>
      </w:pPr>
      <w:r w:rsidRPr="005B422C">
        <w:rPr>
          <w:color w:val="000000"/>
          <w:szCs w:val="24"/>
          <w:lang w:val="en-GB"/>
        </w:rPr>
        <w:t xml:space="preserve">Spectral Response Function (SRF) (relative Radiometric Spectral </w:t>
      </w:r>
      <w:proofErr w:type="spellStart"/>
      <w:r w:rsidRPr="005B422C">
        <w:rPr>
          <w:color w:val="000000"/>
          <w:szCs w:val="24"/>
          <w:lang w:val="en-GB"/>
        </w:rPr>
        <w:t>Responsivity</w:t>
      </w:r>
      <w:proofErr w:type="spellEnd"/>
      <w:r w:rsidRPr="005B422C">
        <w:rPr>
          <w:color w:val="000000"/>
          <w:szCs w:val="24"/>
          <w:lang w:val="en-GB"/>
        </w:rPr>
        <w:t xml:space="preserve"> (RSR))</w:t>
      </w:r>
    </w:p>
    <w:p w:rsidR="005B422C" w:rsidRPr="005B422C" w:rsidRDefault="005B422C" w:rsidP="005B422C">
      <w:pPr>
        <w:numPr>
          <w:ilvl w:val="1"/>
          <w:numId w:val="27"/>
        </w:numPr>
        <w:spacing w:before="100" w:beforeAutospacing="1" w:after="100" w:afterAutospacing="1" w:line="240" w:lineRule="auto"/>
        <w:textAlignment w:val="baseline"/>
        <w:rPr>
          <w:color w:val="000000"/>
          <w:lang w:val="en-GB"/>
        </w:rPr>
      </w:pPr>
      <w:proofErr w:type="spellStart"/>
      <w:r w:rsidRPr="005B422C">
        <w:rPr>
          <w:color w:val="000000"/>
          <w:szCs w:val="24"/>
          <w:lang w:val="en-GB"/>
        </w:rPr>
        <w:t>Responsivity</w:t>
      </w:r>
      <w:proofErr w:type="spellEnd"/>
      <w:r w:rsidRPr="005B422C">
        <w:rPr>
          <w:color w:val="000000"/>
          <w:szCs w:val="24"/>
          <w:lang w:val="en-GB"/>
        </w:rPr>
        <w:t xml:space="preserve"> versus wavelength as a function of channel (i.e. average) and detector</w:t>
      </w:r>
    </w:p>
    <w:p w:rsidR="005B422C" w:rsidRPr="005B422C" w:rsidRDefault="005B422C" w:rsidP="005B422C">
      <w:pPr>
        <w:numPr>
          <w:ilvl w:val="0"/>
          <w:numId w:val="27"/>
        </w:numPr>
        <w:spacing w:before="100" w:beforeAutospacing="1" w:after="100" w:afterAutospacing="1" w:line="240" w:lineRule="auto"/>
        <w:textAlignment w:val="baseline"/>
        <w:rPr>
          <w:color w:val="000000"/>
          <w:lang w:val="en-GB"/>
        </w:rPr>
      </w:pPr>
      <w:r w:rsidRPr="005B422C">
        <w:rPr>
          <w:color w:val="000000"/>
          <w:szCs w:val="24"/>
          <w:lang w:val="en-GB"/>
        </w:rPr>
        <w:t xml:space="preserve">Along-scan and in-track Field of View (FOV)-pixel size or full PSF/MTF/antenna pattern </w:t>
      </w:r>
    </w:p>
    <w:p w:rsidR="005B422C" w:rsidRPr="005B422C" w:rsidRDefault="005B422C" w:rsidP="005B422C">
      <w:pPr>
        <w:numPr>
          <w:ilvl w:val="0"/>
          <w:numId w:val="27"/>
        </w:numPr>
        <w:spacing w:before="100" w:beforeAutospacing="1" w:after="100" w:afterAutospacing="1" w:line="240" w:lineRule="auto"/>
        <w:textAlignment w:val="baseline"/>
        <w:rPr>
          <w:color w:val="000000"/>
          <w:lang w:val="en-GB"/>
        </w:rPr>
      </w:pPr>
      <w:r w:rsidRPr="005B422C">
        <w:rPr>
          <w:color w:val="000000"/>
          <w:szCs w:val="24"/>
          <w:lang w:val="en-GB"/>
        </w:rPr>
        <w:t xml:space="preserve">Field of Regard/swath coverage, repeat cycle /orbit configuration </w:t>
      </w:r>
    </w:p>
    <w:p w:rsidR="005B422C" w:rsidRPr="005B422C" w:rsidRDefault="005B422C" w:rsidP="005B422C">
      <w:pPr>
        <w:numPr>
          <w:ilvl w:val="0"/>
          <w:numId w:val="27"/>
        </w:numPr>
        <w:spacing w:before="100" w:beforeAutospacing="1" w:after="100" w:afterAutospacing="1" w:line="240" w:lineRule="auto"/>
        <w:textAlignment w:val="baseline"/>
        <w:rPr>
          <w:color w:val="000000"/>
          <w:lang w:val="en-GB"/>
        </w:rPr>
      </w:pPr>
      <w:r w:rsidRPr="005B422C">
        <w:rPr>
          <w:color w:val="000000"/>
          <w:szCs w:val="24"/>
          <w:lang w:val="en-GB"/>
        </w:rPr>
        <w:t>Radiometric calibration and characterization:</w:t>
      </w:r>
    </w:p>
    <w:p w:rsidR="005B422C" w:rsidRPr="005B422C" w:rsidRDefault="005B422C" w:rsidP="005B422C">
      <w:pPr>
        <w:numPr>
          <w:ilvl w:val="1"/>
          <w:numId w:val="27"/>
        </w:numPr>
        <w:spacing w:before="100" w:beforeAutospacing="1" w:after="100" w:afterAutospacing="1" w:line="240" w:lineRule="auto"/>
        <w:textAlignment w:val="baseline"/>
        <w:rPr>
          <w:color w:val="000000"/>
          <w:lang w:val="en-GB"/>
        </w:rPr>
      </w:pPr>
      <w:r w:rsidRPr="005B422C">
        <w:rPr>
          <w:color w:val="000000"/>
          <w:szCs w:val="24"/>
          <w:lang w:val="en-GB"/>
        </w:rPr>
        <w:t>Full calibration error budget</w:t>
      </w:r>
    </w:p>
    <w:p w:rsidR="005B422C" w:rsidRPr="005B422C" w:rsidRDefault="005B422C" w:rsidP="005B422C">
      <w:pPr>
        <w:numPr>
          <w:ilvl w:val="1"/>
          <w:numId w:val="27"/>
        </w:numPr>
        <w:spacing w:before="100" w:beforeAutospacing="1" w:after="100" w:afterAutospacing="1" w:line="240" w:lineRule="auto"/>
        <w:textAlignment w:val="baseline"/>
        <w:rPr>
          <w:color w:val="000000"/>
          <w:lang w:val="en-GB"/>
        </w:rPr>
      </w:pPr>
      <w:r w:rsidRPr="005B422C">
        <w:rPr>
          <w:color w:val="000000"/>
          <w:szCs w:val="24"/>
          <w:lang w:val="en-GB"/>
        </w:rPr>
        <w:t>Response versus scan angle</w:t>
      </w:r>
    </w:p>
    <w:p w:rsidR="005B422C" w:rsidRPr="005B422C" w:rsidRDefault="005B422C" w:rsidP="005B422C">
      <w:pPr>
        <w:numPr>
          <w:ilvl w:val="0"/>
          <w:numId w:val="27"/>
        </w:numPr>
        <w:spacing w:before="100" w:beforeAutospacing="1" w:after="100" w:afterAutospacing="1" w:line="240" w:lineRule="auto"/>
        <w:textAlignment w:val="baseline"/>
        <w:rPr>
          <w:color w:val="000000"/>
          <w:lang w:val="en-GB"/>
        </w:rPr>
      </w:pPr>
      <w:r w:rsidRPr="005B422C">
        <w:rPr>
          <w:color w:val="000000"/>
          <w:szCs w:val="24"/>
          <w:lang w:val="en-GB"/>
        </w:rPr>
        <w:t xml:space="preserve">Instrument pointing, geometric accuracy and band to band calibration/registration (i.e. geometric performance) </w:t>
      </w:r>
    </w:p>
    <w:p w:rsidR="005B422C" w:rsidRPr="005B422C" w:rsidRDefault="005B422C" w:rsidP="005B422C">
      <w:pPr>
        <w:numPr>
          <w:ilvl w:val="0"/>
          <w:numId w:val="27"/>
        </w:numPr>
        <w:spacing w:before="100" w:beforeAutospacing="1" w:after="100" w:afterAutospacing="1" w:line="240" w:lineRule="auto"/>
        <w:textAlignment w:val="baseline"/>
        <w:rPr>
          <w:color w:val="000000"/>
          <w:lang w:val="en-GB"/>
        </w:rPr>
      </w:pPr>
      <w:r w:rsidRPr="005B422C">
        <w:rPr>
          <w:color w:val="000000"/>
          <w:szCs w:val="24"/>
          <w:lang w:val="en-GB"/>
        </w:rPr>
        <w:lastRenderedPageBreak/>
        <w:t>Key parameters of on-board calibrators (i.e. blackbody emissivity and temperature uniformity, solar diffuser spectral Bidirectional Reflectance or Transmittance Distribution Function (BRDF or BTDF) and uniformity).</w:t>
      </w:r>
    </w:p>
    <w:p w:rsidR="005B422C" w:rsidRPr="005B422C" w:rsidRDefault="005B422C" w:rsidP="005B422C">
      <w:pPr>
        <w:numPr>
          <w:ilvl w:val="0"/>
          <w:numId w:val="27"/>
        </w:numPr>
        <w:spacing w:before="100" w:beforeAutospacing="1" w:after="100" w:afterAutospacing="1" w:line="240" w:lineRule="auto"/>
        <w:textAlignment w:val="baseline"/>
        <w:rPr>
          <w:color w:val="000000"/>
          <w:lang w:val="en-GB"/>
        </w:rPr>
      </w:pPr>
      <w:r w:rsidRPr="005B422C">
        <w:rPr>
          <w:color w:val="000000"/>
          <w:szCs w:val="24"/>
          <w:lang w:val="en-GB"/>
        </w:rPr>
        <w:t>Target and realized measurement uncertainties for the above data</w:t>
      </w:r>
    </w:p>
    <w:p w:rsidR="005B422C" w:rsidRPr="005B422C" w:rsidRDefault="005B422C" w:rsidP="005B422C">
      <w:pPr>
        <w:pStyle w:val="ListParagraph"/>
        <w:numPr>
          <w:ilvl w:val="0"/>
          <w:numId w:val="28"/>
        </w:numPr>
        <w:spacing w:before="100" w:beforeAutospacing="1" w:after="100" w:afterAutospacing="1" w:line="240" w:lineRule="auto"/>
        <w:textAlignment w:val="baseline"/>
        <w:rPr>
          <w:color w:val="000000"/>
          <w:lang w:val="en-GB"/>
        </w:rPr>
      </w:pPr>
      <w:r w:rsidRPr="005B422C">
        <w:rPr>
          <w:color w:val="000000"/>
          <w:szCs w:val="24"/>
          <w:u w:val="single"/>
          <w:lang w:val="en-GB"/>
        </w:rPr>
        <w:t>General recommendations</w:t>
      </w:r>
      <w:r w:rsidRPr="005B422C">
        <w:rPr>
          <w:color w:val="000000"/>
          <w:szCs w:val="24"/>
          <w:lang w:val="en-GB"/>
        </w:rPr>
        <w:t>:</w:t>
      </w:r>
    </w:p>
    <w:p w:rsidR="005B422C" w:rsidRPr="005B422C" w:rsidRDefault="005B422C" w:rsidP="005B422C">
      <w:pPr>
        <w:numPr>
          <w:ilvl w:val="0"/>
          <w:numId w:val="27"/>
        </w:numPr>
        <w:spacing w:before="100" w:beforeAutospacing="1" w:after="100" w:afterAutospacing="1" w:line="240" w:lineRule="auto"/>
        <w:textAlignment w:val="baseline"/>
        <w:rPr>
          <w:color w:val="000000"/>
          <w:lang w:val="en-GB"/>
        </w:rPr>
      </w:pPr>
      <w:r w:rsidRPr="005B422C">
        <w:rPr>
          <w:color w:val="000000"/>
          <w:szCs w:val="24"/>
          <w:lang w:val="en-GB"/>
        </w:rPr>
        <w:t>All the above should indicate the level of maturity of the determination of instrument testing parameter. This is accomplished by identifying if the data were determined using analysis/modelling, demonstration, inspection, or testing at the part, subassembly, subsystem, system or observatory (i.e. spacecraft plus instruments) level.</w:t>
      </w:r>
    </w:p>
    <w:p w:rsidR="005B422C" w:rsidRPr="005B422C" w:rsidRDefault="005B422C" w:rsidP="005B422C">
      <w:pPr>
        <w:numPr>
          <w:ilvl w:val="0"/>
          <w:numId w:val="27"/>
        </w:numPr>
        <w:spacing w:before="100" w:beforeAutospacing="1" w:after="100" w:afterAutospacing="1" w:line="240" w:lineRule="auto"/>
        <w:textAlignment w:val="baseline"/>
        <w:rPr>
          <w:color w:val="000000"/>
          <w:lang w:val="en-GB"/>
        </w:rPr>
      </w:pPr>
      <w:r w:rsidRPr="005B422C">
        <w:rPr>
          <w:color w:val="000000"/>
          <w:szCs w:val="24"/>
          <w:lang w:val="en-GB"/>
        </w:rPr>
        <w:t xml:space="preserve">Prelaunch test data should be provided for all potential instrument on-orbit operational configurations. </w:t>
      </w:r>
    </w:p>
    <w:p w:rsidR="005B422C" w:rsidRPr="005B422C" w:rsidRDefault="005B422C" w:rsidP="005B422C">
      <w:pPr>
        <w:numPr>
          <w:ilvl w:val="0"/>
          <w:numId w:val="27"/>
        </w:numPr>
        <w:spacing w:before="100" w:beforeAutospacing="1" w:after="100" w:afterAutospacing="1" w:line="240" w:lineRule="auto"/>
        <w:textAlignment w:val="baseline"/>
        <w:rPr>
          <w:color w:val="000000"/>
          <w:lang w:val="en-GB"/>
        </w:rPr>
      </w:pPr>
      <w:r w:rsidRPr="005B422C">
        <w:rPr>
          <w:szCs w:val="24"/>
        </w:rPr>
        <w:t>All information should be retained indefinitely.</w:t>
      </w:r>
    </w:p>
    <w:p w:rsidR="005B422C" w:rsidRPr="005B422C" w:rsidRDefault="005B422C" w:rsidP="005B422C">
      <w:pPr>
        <w:pStyle w:val="Heading2"/>
        <w:numPr>
          <w:ilvl w:val="0"/>
          <w:numId w:val="0"/>
        </w:numPr>
        <w:ind w:left="360" w:hanging="360"/>
        <w:rPr>
          <w:lang w:val="en-GB"/>
        </w:rPr>
      </w:pPr>
    </w:p>
    <w:sectPr w:rsidR="005B422C" w:rsidRPr="005B422C" w:rsidSect="00C57F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915" w:rsidRDefault="00BE5915" w:rsidP="00924FE9">
      <w:pPr>
        <w:spacing w:after="0" w:line="240" w:lineRule="auto"/>
      </w:pPr>
      <w:r>
        <w:separator/>
      </w:r>
    </w:p>
  </w:endnote>
  <w:endnote w:type="continuationSeparator" w:id="0">
    <w:p w:rsidR="00BE5915" w:rsidRDefault="00BE5915" w:rsidP="0092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E9" w:rsidRDefault="00924FE9">
    <w:pPr>
      <w:pStyle w:val="Footer"/>
    </w:pPr>
    <w:r>
      <w:t>GSICS-</w:t>
    </w:r>
    <w:proofErr w:type="spellStart"/>
    <w:r>
      <w:t>Reference_version</w:t>
    </w:r>
    <w:proofErr w:type="spellEnd"/>
    <w:r>
      <w:ptab w:relativeTo="margin" w:alignment="center" w:leader="none"/>
    </w:r>
    <w:r w:rsidR="00C57FBC" w:rsidRPr="00924FE9">
      <w:fldChar w:fldCharType="begin"/>
    </w:r>
    <w:r w:rsidRPr="00924FE9">
      <w:instrText xml:space="preserve"> PAGE   \* MERGEFORMAT </w:instrText>
    </w:r>
    <w:r w:rsidR="00C57FBC" w:rsidRPr="00924FE9">
      <w:fldChar w:fldCharType="separate"/>
    </w:r>
    <w:r w:rsidR="00D83DF2">
      <w:rPr>
        <w:noProof/>
      </w:rPr>
      <w:t>2</w:t>
    </w:r>
    <w:r w:rsidR="00C57FBC" w:rsidRPr="00924FE9">
      <w:rPr>
        <w:noProof/>
      </w:rPr>
      <w:fldChar w:fldCharType="end"/>
    </w:r>
    <w:r>
      <w:ptab w:relativeTo="margin" w:alignment="right" w:leader="none"/>
    </w:r>
    <w:r>
      <w:t>Date YYYY/MM/DD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EE" w:rsidRDefault="000973EE" w:rsidP="000973EE">
    <w:pPr>
      <w:pStyle w:val="Footer"/>
      <w:ind w:left="-630" w:firstLine="243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81" w:rsidRDefault="007C7481">
    <w:pPr>
      <w:pStyle w:val="Footer"/>
    </w:pPr>
    <w:r>
      <w:t>GSICS-</w:t>
    </w:r>
    <w:proofErr w:type="spellStart"/>
    <w:r>
      <w:t>Reference_version</w:t>
    </w:r>
    <w:proofErr w:type="spellEnd"/>
    <w:r>
      <w:ptab w:relativeTo="margin" w:alignment="center" w:leader="none"/>
    </w:r>
    <w:r w:rsidR="00C57FBC" w:rsidRPr="00924FE9">
      <w:fldChar w:fldCharType="begin"/>
    </w:r>
    <w:r w:rsidRPr="00924FE9">
      <w:instrText xml:space="preserve"> PAGE   \* MERGEFORMAT </w:instrText>
    </w:r>
    <w:r w:rsidR="00C57FBC" w:rsidRPr="00924FE9">
      <w:fldChar w:fldCharType="separate"/>
    </w:r>
    <w:r w:rsidR="004258CD">
      <w:rPr>
        <w:noProof/>
      </w:rPr>
      <w:t>2</w:t>
    </w:r>
    <w:r w:rsidR="00C57FBC" w:rsidRPr="00924FE9">
      <w:rPr>
        <w:noProof/>
      </w:rPr>
      <w:fldChar w:fldCharType="end"/>
    </w:r>
    <w:r>
      <w:ptab w:relativeTo="margin" w:alignment="right" w:leader="none"/>
    </w:r>
    <w:r>
      <w:t xml:space="preserve">Date </w:t>
    </w:r>
    <w:r w:rsidR="00D83DF2">
      <w:t>2016-05-23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915" w:rsidRDefault="00BE5915" w:rsidP="00924FE9">
      <w:pPr>
        <w:spacing w:after="0" w:line="240" w:lineRule="auto"/>
      </w:pPr>
      <w:r>
        <w:separator/>
      </w:r>
    </w:p>
  </w:footnote>
  <w:footnote w:type="continuationSeparator" w:id="0">
    <w:p w:rsidR="00BE5915" w:rsidRDefault="00BE5915" w:rsidP="00924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E9" w:rsidRDefault="00924FE9">
    <w:pPr>
      <w:pStyle w:val="Header"/>
    </w:pPr>
    <w:r>
      <w:tab/>
    </w:r>
    <w:r>
      <w:tab/>
    </w:r>
  </w:p>
  <w:p w:rsidR="00924FE9" w:rsidRDefault="00924F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E9" w:rsidRDefault="00924FE9" w:rsidP="000973EE">
    <w:pPr>
      <w:pStyle w:val="Header"/>
      <w:ind w:left="-630" w:firstLine="2430"/>
    </w:pPr>
    <w:r>
      <w:rPr>
        <w:noProof/>
        <w:lang w:val="en-GB" w:eastAsia="en-GB"/>
      </w:rPr>
      <w:drawing>
        <wp:inline distT="0" distB="0" distL="0" distR="0">
          <wp:extent cx="2085975" cy="846905"/>
          <wp:effectExtent l="0" t="0" r="0" b="0"/>
          <wp:docPr id="6" name="Picture 2" descr="H:\MY DOCUMENTS\GSICS\logo\GSICS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2" descr="H:\MY DOCUMENTS\GSICS\logo\GSICS500px.png"/>
                  <pic:cNvPicPr>
                    <a:picLocks noChangeAspect="1" noChangeArrowheads="1"/>
                  </pic:cNvPicPr>
                </pic:nvPicPr>
                <pic:blipFill>
                  <a:blip r:embed="rId1" cstate="print"/>
                  <a:srcRect/>
                  <a:stretch>
                    <a:fillRect/>
                  </a:stretch>
                </pic:blipFill>
                <pic:spPr bwMode="auto">
                  <a:xfrm>
                    <a:off x="0" y="0"/>
                    <a:ext cx="2087994" cy="847725"/>
                  </a:xfrm>
                  <a:prstGeom prst="rect">
                    <a:avLst/>
                  </a:prstGeom>
                  <a:noFill/>
                </pic:spPr>
              </pic:pic>
            </a:graphicData>
          </a:graphic>
        </wp:inline>
      </w:drawing>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EE" w:rsidRDefault="000973EE">
    <w:pPr>
      <w:pStyle w:val="Heade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19FE"/>
    <w:multiLevelType w:val="multilevel"/>
    <w:tmpl w:val="072CA7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AD31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5616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4E42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9541E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2EC2DEA"/>
    <w:multiLevelType w:val="multilevel"/>
    <w:tmpl w:val="4ADC4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5632B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8D07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D01811"/>
    <w:multiLevelType w:val="multilevel"/>
    <w:tmpl w:val="D9E4ABBA"/>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1D70DA"/>
    <w:multiLevelType w:val="hybridMultilevel"/>
    <w:tmpl w:val="1A0A359C"/>
    <w:lvl w:ilvl="0" w:tplc="94EA3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51D2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45A03E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151BE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nsid w:val="5965472B"/>
    <w:multiLevelType w:val="multilevel"/>
    <w:tmpl w:val="0409001F"/>
    <w:lvl w:ilvl="0">
      <w:start w:val="1"/>
      <w:numFmt w:val="decimal"/>
      <w:lvlText w:val="%1."/>
      <w:lvlJc w:val="left"/>
      <w:pPr>
        <w:ind w:left="900" w:hanging="360"/>
      </w:p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14">
    <w:nsid w:val="59D4563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600C07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6C198B"/>
    <w:multiLevelType w:val="hybridMultilevel"/>
    <w:tmpl w:val="EAE4B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3E6949"/>
    <w:multiLevelType w:val="multilevel"/>
    <w:tmpl w:val="06263FFC"/>
    <w:lvl w:ilvl="0">
      <w:start w:val="1"/>
      <w:numFmt w:val="decimal"/>
      <w:lvlText w:val="%1."/>
      <w:lvlJc w:val="left"/>
      <w:pPr>
        <w:ind w:left="540" w:hanging="360"/>
      </w:pPr>
    </w:lvl>
    <w:lvl w:ilvl="1">
      <w:start w:val="1"/>
      <w:numFmt w:val="decimal"/>
      <w:lvlText w:val="%1.%2."/>
      <w:lvlJc w:val="left"/>
      <w:pPr>
        <w:ind w:left="972" w:hanging="432"/>
      </w:pPr>
    </w:lvl>
    <w:lvl w:ilvl="2">
      <w:start w:val="1"/>
      <w:numFmt w:val="decimal"/>
      <w:lvlText w:val="%1.%2.%3."/>
      <w:lvlJc w:val="left"/>
      <w:pPr>
        <w:ind w:left="1404" w:hanging="50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num w:numId="1">
    <w:abstractNumId w:val="17"/>
  </w:num>
  <w:num w:numId="2">
    <w:abstractNumId w:val="4"/>
  </w:num>
  <w:num w:numId="3">
    <w:abstractNumId w:val="0"/>
  </w:num>
  <w:num w:numId="4">
    <w:abstractNumId w:val="13"/>
  </w:num>
  <w:num w:numId="5">
    <w:abstractNumId w:val="1"/>
  </w:num>
  <w:num w:numId="6">
    <w:abstractNumId w:val="11"/>
  </w:num>
  <w:num w:numId="7">
    <w:abstractNumId w:val="2"/>
  </w:num>
  <w:num w:numId="8">
    <w:abstractNumId w:val="15"/>
  </w:num>
  <w:num w:numId="9">
    <w:abstractNumId w:val="0"/>
  </w:num>
  <w:num w:numId="10">
    <w:abstractNumId w:val="9"/>
  </w:num>
  <w:num w:numId="11">
    <w:abstractNumId w:val="12"/>
  </w:num>
  <w:num w:numId="12">
    <w:abstractNumId w:val="0"/>
  </w:num>
  <w:num w:numId="13">
    <w:abstractNumId w:val="0"/>
  </w:num>
  <w:num w:numId="14">
    <w:abstractNumId w:val="14"/>
  </w:num>
  <w:num w:numId="15">
    <w:abstractNumId w:val="0"/>
  </w:num>
  <w:num w:numId="16">
    <w:abstractNumId w:val="6"/>
  </w:num>
  <w:num w:numId="17">
    <w:abstractNumId w:val="10"/>
  </w:num>
  <w:num w:numId="18">
    <w:abstractNumId w:val="0"/>
  </w:num>
  <w:num w:numId="19">
    <w:abstractNumId w:val="0"/>
  </w:num>
  <w:num w:numId="20">
    <w:abstractNumId w:val="0"/>
  </w:num>
  <w:num w:numId="21">
    <w:abstractNumId w:val="0"/>
  </w:num>
  <w:num w:numId="22">
    <w:abstractNumId w:val="3"/>
  </w:num>
  <w:num w:numId="23">
    <w:abstractNumId w:val="7"/>
  </w:num>
  <w:num w:numId="24">
    <w:abstractNumId w:val="8"/>
  </w:num>
  <w:num w:numId="25">
    <w:abstractNumId w:val="8"/>
  </w:num>
  <w:num w:numId="26">
    <w:abstractNumId w:val="8"/>
  </w:num>
  <w:num w:numId="27">
    <w:abstractNumId w:val="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5B422C"/>
    <w:rsid w:val="000973EE"/>
    <w:rsid w:val="000D694D"/>
    <w:rsid w:val="002605F8"/>
    <w:rsid w:val="003A0B3B"/>
    <w:rsid w:val="004258CD"/>
    <w:rsid w:val="005A2F6B"/>
    <w:rsid w:val="005B422C"/>
    <w:rsid w:val="00680CF2"/>
    <w:rsid w:val="006C3B95"/>
    <w:rsid w:val="007C7481"/>
    <w:rsid w:val="00924FE9"/>
    <w:rsid w:val="00992B3C"/>
    <w:rsid w:val="00BE5915"/>
    <w:rsid w:val="00C57FBC"/>
    <w:rsid w:val="00D83DF2"/>
    <w:rsid w:val="00DD0F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BC"/>
  </w:style>
  <w:style w:type="paragraph" w:styleId="Heading1">
    <w:name w:val="heading 1"/>
    <w:basedOn w:val="Normal"/>
    <w:next w:val="Normal"/>
    <w:link w:val="Heading1Char"/>
    <w:uiPriority w:val="9"/>
    <w:qFormat/>
    <w:rsid w:val="003A0B3B"/>
    <w:pPr>
      <w:keepNext/>
      <w:keepLines/>
      <w:spacing w:before="480" w:after="0"/>
      <w:outlineLvl w:val="0"/>
    </w:pPr>
    <w:rPr>
      <w:rFonts w:asciiTheme="majorHAnsi" w:eastAsiaTheme="majorEastAsia" w:hAnsiTheme="majorHAnsi" w:cstheme="majorBidi"/>
      <w:b/>
      <w:bCs/>
      <w:color w:val="000066"/>
      <w:sz w:val="28"/>
      <w:szCs w:val="28"/>
    </w:rPr>
  </w:style>
  <w:style w:type="paragraph" w:styleId="Heading2">
    <w:name w:val="heading 2"/>
    <w:basedOn w:val="Normal"/>
    <w:next w:val="Normal"/>
    <w:link w:val="Heading2Char"/>
    <w:autoRedefine/>
    <w:uiPriority w:val="9"/>
    <w:unhideWhenUsed/>
    <w:qFormat/>
    <w:rsid w:val="000D694D"/>
    <w:pPr>
      <w:keepNext/>
      <w:keepLines/>
      <w:numPr>
        <w:numId w:val="24"/>
      </w:numPr>
      <w:spacing w:before="200" w:after="0"/>
      <w:outlineLvl w:val="1"/>
    </w:pPr>
    <w:rPr>
      <w:rFonts w:asciiTheme="majorHAnsi" w:eastAsiaTheme="majorEastAsia" w:hAnsiTheme="majorHAnsi" w:cstheme="majorBidi"/>
      <w:b/>
      <w:bCs/>
      <w:color w:val="000066"/>
      <w:sz w:val="28"/>
      <w:szCs w:val="26"/>
    </w:rPr>
  </w:style>
  <w:style w:type="paragraph" w:styleId="Heading3">
    <w:name w:val="heading 3"/>
    <w:basedOn w:val="Heading2"/>
    <w:next w:val="Normal"/>
    <w:link w:val="Heading3Char"/>
    <w:uiPriority w:val="9"/>
    <w:unhideWhenUsed/>
    <w:qFormat/>
    <w:rsid w:val="000D694D"/>
    <w:pPr>
      <w:numPr>
        <w:ilvl w:val="1"/>
      </w:numPr>
      <w:outlineLvl w:val="2"/>
    </w:pPr>
    <w:rPr>
      <w:sz w:val="24"/>
    </w:rPr>
  </w:style>
  <w:style w:type="paragraph" w:styleId="Heading4">
    <w:name w:val="heading 4"/>
    <w:basedOn w:val="Heading3"/>
    <w:next w:val="Normal"/>
    <w:link w:val="Heading4Char"/>
    <w:uiPriority w:val="9"/>
    <w:unhideWhenUsed/>
    <w:qFormat/>
    <w:rsid w:val="000D694D"/>
    <w:pPr>
      <w:numPr>
        <w:ilvl w:val="2"/>
      </w:numPr>
      <w:outlineLvl w:val="3"/>
    </w:pPr>
    <w:rPr>
      <w:i/>
      <w:sz w:val="22"/>
    </w:rPr>
  </w:style>
  <w:style w:type="paragraph" w:styleId="Heading5">
    <w:name w:val="heading 5"/>
    <w:basedOn w:val="Normal"/>
    <w:next w:val="Normal"/>
    <w:link w:val="Heading5Char"/>
    <w:uiPriority w:val="9"/>
    <w:unhideWhenUsed/>
    <w:qFormat/>
    <w:rsid w:val="00680C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B3B"/>
    <w:rPr>
      <w:rFonts w:asciiTheme="majorHAnsi" w:eastAsiaTheme="majorEastAsia" w:hAnsiTheme="majorHAnsi" w:cstheme="majorBidi"/>
      <w:b/>
      <w:bCs/>
      <w:color w:val="000066"/>
      <w:sz w:val="28"/>
      <w:szCs w:val="28"/>
    </w:rPr>
  </w:style>
  <w:style w:type="character" w:customStyle="1" w:styleId="Heading2Char">
    <w:name w:val="Heading 2 Char"/>
    <w:basedOn w:val="DefaultParagraphFont"/>
    <w:link w:val="Heading2"/>
    <w:uiPriority w:val="9"/>
    <w:rsid w:val="000D694D"/>
    <w:rPr>
      <w:rFonts w:asciiTheme="majorHAnsi" w:eastAsiaTheme="majorEastAsia" w:hAnsiTheme="majorHAnsi" w:cstheme="majorBidi"/>
      <w:b/>
      <w:bCs/>
      <w:color w:val="000066"/>
      <w:sz w:val="28"/>
      <w:szCs w:val="26"/>
    </w:rPr>
  </w:style>
  <w:style w:type="character" w:customStyle="1" w:styleId="Heading3Char">
    <w:name w:val="Heading 3 Char"/>
    <w:basedOn w:val="DefaultParagraphFont"/>
    <w:link w:val="Heading3"/>
    <w:uiPriority w:val="9"/>
    <w:rsid w:val="000D694D"/>
    <w:rPr>
      <w:rFonts w:asciiTheme="majorHAnsi" w:eastAsiaTheme="majorEastAsia" w:hAnsiTheme="majorHAnsi" w:cstheme="majorBidi"/>
      <w:b/>
      <w:bCs/>
      <w:color w:val="000066"/>
      <w:sz w:val="24"/>
      <w:szCs w:val="26"/>
    </w:rPr>
  </w:style>
  <w:style w:type="character" w:customStyle="1" w:styleId="Heading4Char">
    <w:name w:val="Heading 4 Char"/>
    <w:basedOn w:val="DefaultParagraphFont"/>
    <w:link w:val="Heading4"/>
    <w:uiPriority w:val="9"/>
    <w:rsid w:val="000D694D"/>
    <w:rPr>
      <w:rFonts w:asciiTheme="majorHAnsi" w:eastAsiaTheme="majorEastAsia" w:hAnsiTheme="majorHAnsi" w:cstheme="majorBidi"/>
      <w:b/>
      <w:bCs/>
      <w:i/>
      <w:color w:val="000066"/>
      <w:szCs w:val="26"/>
    </w:rPr>
  </w:style>
  <w:style w:type="paragraph" w:styleId="Title">
    <w:name w:val="Title"/>
    <w:basedOn w:val="Normal"/>
    <w:next w:val="Normal"/>
    <w:link w:val="TitleChar"/>
    <w:uiPriority w:val="10"/>
    <w:qFormat/>
    <w:rsid w:val="003A0B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B3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3A0B3B"/>
    <w:pPr>
      <w:outlineLvl w:val="9"/>
    </w:pPr>
    <w:rPr>
      <w:lang w:eastAsia="ja-JP"/>
    </w:rPr>
  </w:style>
  <w:style w:type="paragraph" w:styleId="TOC1">
    <w:name w:val="toc 1"/>
    <w:basedOn w:val="Normal"/>
    <w:next w:val="Normal"/>
    <w:autoRedefine/>
    <w:uiPriority w:val="39"/>
    <w:unhideWhenUsed/>
    <w:rsid w:val="003A0B3B"/>
    <w:pPr>
      <w:spacing w:after="100"/>
    </w:pPr>
  </w:style>
  <w:style w:type="paragraph" w:styleId="TOC3">
    <w:name w:val="toc 3"/>
    <w:basedOn w:val="Normal"/>
    <w:next w:val="Normal"/>
    <w:autoRedefine/>
    <w:uiPriority w:val="39"/>
    <w:unhideWhenUsed/>
    <w:rsid w:val="003A0B3B"/>
    <w:pPr>
      <w:spacing w:after="100"/>
      <w:ind w:left="440"/>
    </w:pPr>
  </w:style>
  <w:style w:type="character" w:styleId="Hyperlink">
    <w:name w:val="Hyperlink"/>
    <w:basedOn w:val="DefaultParagraphFont"/>
    <w:uiPriority w:val="99"/>
    <w:unhideWhenUsed/>
    <w:rsid w:val="003A0B3B"/>
    <w:rPr>
      <w:color w:val="0000FF" w:themeColor="hyperlink"/>
      <w:u w:val="single"/>
    </w:rPr>
  </w:style>
  <w:style w:type="paragraph" w:styleId="ListParagraph">
    <w:name w:val="List Paragraph"/>
    <w:basedOn w:val="Normal"/>
    <w:uiPriority w:val="34"/>
    <w:qFormat/>
    <w:rsid w:val="003A0B3B"/>
    <w:pPr>
      <w:ind w:left="720"/>
      <w:contextualSpacing/>
    </w:pPr>
  </w:style>
  <w:style w:type="paragraph" w:styleId="TOC2">
    <w:name w:val="toc 2"/>
    <w:basedOn w:val="Normal"/>
    <w:next w:val="Normal"/>
    <w:autoRedefine/>
    <w:uiPriority w:val="39"/>
    <w:unhideWhenUsed/>
    <w:rsid w:val="003A0B3B"/>
    <w:pPr>
      <w:spacing w:after="100"/>
      <w:ind w:left="220"/>
    </w:pPr>
  </w:style>
  <w:style w:type="paragraph" w:styleId="Subtitle">
    <w:name w:val="Subtitle"/>
    <w:basedOn w:val="Normal"/>
    <w:next w:val="Normal"/>
    <w:link w:val="SubtitleChar"/>
    <w:uiPriority w:val="11"/>
    <w:qFormat/>
    <w:rsid w:val="000D694D"/>
    <w:pPr>
      <w:numPr>
        <w:ilvl w:val="1"/>
      </w:numPr>
    </w:pPr>
    <w:rPr>
      <w:rFonts w:asciiTheme="majorHAnsi" w:eastAsiaTheme="majorEastAsia" w:hAnsiTheme="majorHAnsi" w:cstheme="majorBidi"/>
      <w:i/>
      <w:iCs/>
      <w:color w:val="000066"/>
      <w:spacing w:val="15"/>
      <w:sz w:val="28"/>
      <w:szCs w:val="24"/>
    </w:rPr>
  </w:style>
  <w:style w:type="character" w:customStyle="1" w:styleId="SubtitleChar">
    <w:name w:val="Subtitle Char"/>
    <w:basedOn w:val="DefaultParagraphFont"/>
    <w:link w:val="Subtitle"/>
    <w:uiPriority w:val="11"/>
    <w:rsid w:val="000D694D"/>
    <w:rPr>
      <w:rFonts w:asciiTheme="majorHAnsi" w:eastAsiaTheme="majorEastAsia" w:hAnsiTheme="majorHAnsi" w:cstheme="majorBidi"/>
      <w:i/>
      <w:iCs/>
      <w:color w:val="000066"/>
      <w:spacing w:val="15"/>
      <w:sz w:val="28"/>
      <w:szCs w:val="24"/>
    </w:rPr>
  </w:style>
  <w:style w:type="table" w:styleId="TableGrid">
    <w:name w:val="Table Grid"/>
    <w:basedOn w:val="TableNormal"/>
    <w:uiPriority w:val="59"/>
    <w:rsid w:val="000D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680CF2"/>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924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FE9"/>
  </w:style>
  <w:style w:type="paragraph" w:styleId="Footer">
    <w:name w:val="footer"/>
    <w:basedOn w:val="Normal"/>
    <w:link w:val="FooterChar"/>
    <w:uiPriority w:val="99"/>
    <w:unhideWhenUsed/>
    <w:rsid w:val="00924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FE9"/>
  </w:style>
  <w:style w:type="paragraph" w:styleId="BalloonText">
    <w:name w:val="Balloon Text"/>
    <w:basedOn w:val="Normal"/>
    <w:link w:val="BalloonTextChar"/>
    <w:uiPriority w:val="99"/>
    <w:semiHidden/>
    <w:unhideWhenUsed/>
    <w:rsid w:val="00D83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D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isonT\Downloads\GSICS-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AAAB-FAF7-4E91-98DD-D6DDBB3D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GSICS-template3.dotx</Template>
  <TotalTime>13</TotalTime>
  <Pages>4</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Hewison</dc:creator>
  <cp:lastModifiedBy>Tim Hewison</cp:lastModifiedBy>
  <cp:revision>3</cp:revision>
  <dcterms:created xsi:type="dcterms:W3CDTF">2016-05-23T09:51:00Z</dcterms:created>
  <dcterms:modified xsi:type="dcterms:W3CDTF">2016-05-23T10:17:00Z</dcterms:modified>
</cp:coreProperties>
</file>