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8" w:rsidRPr="000E7FA3" w:rsidRDefault="00E85D96">
      <w:r w:rsidRPr="00E85D96">
        <w:rPr>
          <w:rFonts w:ascii="Helvetica" w:hAnsi="Helvetica"/>
          <w:noProof/>
        </w:rPr>
        <w:pict>
          <v:shapetype id="_x0000_t202" coordsize="21600,21600" o:spt="202" path="m,l,21600r21600,l21600,xe">
            <v:stroke joinstyle="miter"/>
            <v:path gradientshapeok="t" o:connecttype="rect"/>
          </v:shapetype>
          <v:shape id="_x0000_s1026" type="#_x0000_t202" style="position:absolute;left:0;text-align:left;margin-left:-1.25pt;margin-top:189.55pt;width:433.9pt;height:156.85pt;z-index:251657216" o:allowincell="f" stroked="f">
            <v:textbox style="mso-next-textbox:#_x0000_s1026">
              <w:txbxContent>
                <w:p w:rsidR="001D4D94" w:rsidRPr="00A62AB5" w:rsidRDefault="00824A29">
                  <w:pPr>
                    <w:pStyle w:val="DocTitle"/>
                    <w:rPr>
                      <w:szCs w:val="36"/>
                    </w:rPr>
                  </w:pPr>
                  <w:bookmarkStart w:id="0" w:name="DOCNAME01"/>
                  <w:r>
                    <w:rPr>
                      <w:szCs w:val="36"/>
                    </w:rPr>
                    <w:t>Scientific Validation of SEVIRI-IASI Prime GSICS Corrections</w:t>
                  </w:r>
                  <w:bookmarkEnd w:id="0"/>
                </w:p>
                <w:p w:rsidR="001D4D94" w:rsidRPr="00A62AB5" w:rsidRDefault="001D4D94">
                  <w:pPr>
                    <w:pStyle w:val="DocTitle"/>
                    <w:rPr>
                      <w:szCs w:val="36"/>
                    </w:rPr>
                  </w:pPr>
                </w:p>
                <w:p w:rsidR="001D4D94" w:rsidRPr="008C63A5" w:rsidRDefault="001D4D94" w:rsidP="00F8087D">
                  <w:pPr>
                    <w:pStyle w:val="Confidentiality"/>
                    <w:jc w:val="center"/>
                    <w:rPr>
                      <w:sz w:val="24"/>
                      <w:szCs w:val="24"/>
                    </w:rPr>
                  </w:pPr>
                  <w:bookmarkStart w:id="1" w:name="E_CONFIDA01"/>
                  <w:bookmarkEnd w:id="1"/>
                </w:p>
                <w:p w:rsidR="001D4D94" w:rsidRPr="00A62AB5" w:rsidRDefault="001D4D94">
                  <w:pPr>
                    <w:pStyle w:val="DocTitle"/>
                    <w:rPr>
                      <w:szCs w:val="36"/>
                    </w:rPr>
                  </w:pPr>
                </w:p>
              </w:txbxContent>
            </v:textbox>
            <w10:wrap type="square"/>
          </v:shape>
        </w:pict>
      </w:r>
    </w:p>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9E5268" w:rsidRPr="000E7FA3" w:rsidRDefault="009E5268"/>
    <w:p w:rsidR="009E5268" w:rsidRPr="000E7FA3" w:rsidRDefault="009E5268"/>
    <w:tbl>
      <w:tblPr>
        <w:tblW w:w="0" w:type="auto"/>
        <w:tblLayout w:type="fixed"/>
        <w:tblCellMar>
          <w:left w:w="0" w:type="dxa"/>
          <w:right w:w="0" w:type="dxa"/>
        </w:tblCellMar>
        <w:tblLook w:val="0000"/>
      </w:tblPr>
      <w:tblGrid>
        <w:gridCol w:w="993"/>
        <w:gridCol w:w="283"/>
        <w:gridCol w:w="3544"/>
      </w:tblGrid>
      <w:tr w:rsidR="0074499C" w:rsidRPr="000E7FA3" w:rsidTr="006141C8">
        <w:tc>
          <w:tcPr>
            <w:tcW w:w="993" w:type="dxa"/>
          </w:tcPr>
          <w:p w:rsidR="0074499C" w:rsidRPr="000E7FA3" w:rsidRDefault="0074499C" w:rsidP="0074499C">
            <w:pPr>
              <w:spacing w:before="60"/>
              <w:rPr>
                <w:rFonts w:ascii="Arial" w:hAnsi="Arial"/>
                <w:sz w:val="20"/>
              </w:rPr>
            </w:pPr>
          </w:p>
        </w:tc>
        <w:tc>
          <w:tcPr>
            <w:tcW w:w="283" w:type="dxa"/>
          </w:tcPr>
          <w:p w:rsidR="0074499C" w:rsidRPr="000E7FA3" w:rsidRDefault="0074499C" w:rsidP="0074499C">
            <w:pPr>
              <w:spacing w:before="60"/>
              <w:rPr>
                <w:rFonts w:ascii="Arial" w:hAnsi="Arial"/>
                <w:sz w:val="20"/>
              </w:rPr>
            </w:pPr>
          </w:p>
        </w:tc>
        <w:tc>
          <w:tcPr>
            <w:tcW w:w="3544" w:type="dxa"/>
          </w:tcPr>
          <w:p w:rsidR="0074499C" w:rsidRPr="000E7FA3" w:rsidRDefault="0074499C" w:rsidP="0074499C">
            <w:pPr>
              <w:spacing w:before="60"/>
              <w:rPr>
                <w:rFonts w:ascii="Arial" w:hAnsi="Arial"/>
                <w:sz w:val="20"/>
              </w:rPr>
            </w:pPr>
          </w:p>
        </w:tc>
      </w:tr>
      <w:tr w:rsidR="0074499C" w:rsidRPr="000E7FA3" w:rsidTr="006141C8">
        <w:tc>
          <w:tcPr>
            <w:tcW w:w="993" w:type="dxa"/>
          </w:tcPr>
          <w:p w:rsidR="0074499C" w:rsidRPr="000E7FA3" w:rsidRDefault="00E85D96" w:rsidP="0074499C">
            <w:pPr>
              <w:spacing w:before="60"/>
              <w:rPr>
                <w:rFonts w:ascii="Arial" w:hAnsi="Arial"/>
                <w:sz w:val="20"/>
              </w:rPr>
            </w:pPr>
            <w:r w:rsidRPr="00E85D96">
              <w:rPr>
                <w:rFonts w:ascii="Arial" w:hAnsi="Arial"/>
                <w:b/>
                <w:noProof/>
                <w:sz w:val="20"/>
              </w:rPr>
              <w:pict>
                <v:shape id="_x0000_s1027" type="#_x0000_t202" style="position:absolute;left:0;text-align:left;margin-left:250pt;margin-top:7pt;width:197.7pt;height:52.05pt;z-index:251658240;mso-position-horizontal-relative:text;mso-position-vertical-relative:text" o:allowincell="f" stroked="f">
                  <v:textbox style="mso-next-textbox:#_x0000_s1027">
                    <w:txbxContent>
                      <w:p w:rsidR="001D4D94" w:rsidRPr="00834225" w:rsidRDefault="001D4D94" w:rsidP="0074499C">
                        <w:pPr>
                          <w:jc w:val="right"/>
                          <w:rPr>
                            <w:rFonts w:ascii="Arial" w:hAnsi="Arial" w:cs="Arial"/>
                            <w:sz w:val="16"/>
                            <w:szCs w:val="16"/>
                            <w:lang w:val="de-DE"/>
                          </w:rPr>
                        </w:pPr>
                        <w:r w:rsidRPr="00834225">
                          <w:rPr>
                            <w:rFonts w:ascii="Arial" w:hAnsi="Arial" w:cs="Arial"/>
                            <w:sz w:val="16"/>
                            <w:szCs w:val="16"/>
                            <w:lang w:val="de-DE"/>
                          </w:rPr>
                          <w:t>EUMETSAT</w:t>
                        </w:r>
                      </w:p>
                      <w:p w:rsidR="001D4D94" w:rsidRPr="00834225" w:rsidRDefault="001D4D94" w:rsidP="0074499C">
                        <w:pPr>
                          <w:jc w:val="right"/>
                          <w:rPr>
                            <w:rFonts w:ascii="Arial" w:hAnsi="Arial" w:cs="Arial"/>
                            <w:sz w:val="16"/>
                            <w:szCs w:val="16"/>
                            <w:lang w:val="de-DE"/>
                          </w:rPr>
                        </w:pPr>
                        <w:r w:rsidRPr="00834225">
                          <w:rPr>
                            <w:rFonts w:ascii="Arial" w:hAnsi="Arial" w:cs="Arial"/>
                            <w:sz w:val="16"/>
                            <w:szCs w:val="16"/>
                            <w:lang w:val="de-DE"/>
                          </w:rPr>
                          <w:t>Eumetsat-Allee 1, D-64295 Darmstadt, Germany</w:t>
                        </w:r>
                      </w:p>
                      <w:p w:rsidR="001D4D94" w:rsidRPr="006141C8" w:rsidRDefault="001D4D94" w:rsidP="0074499C">
                        <w:pPr>
                          <w:jc w:val="right"/>
                          <w:rPr>
                            <w:rFonts w:ascii="Arial" w:hAnsi="Arial" w:cs="Arial"/>
                            <w:sz w:val="16"/>
                            <w:szCs w:val="16"/>
                          </w:rPr>
                        </w:pPr>
                        <w:r w:rsidRPr="006141C8">
                          <w:rPr>
                            <w:rFonts w:ascii="Arial" w:hAnsi="Arial" w:cs="Arial"/>
                            <w:sz w:val="16"/>
                            <w:szCs w:val="16"/>
                          </w:rPr>
                          <w:t>Tel: +49 6151 807-7</w:t>
                        </w:r>
                      </w:p>
                      <w:p w:rsidR="001D4D94" w:rsidRPr="006141C8" w:rsidRDefault="001D4D94" w:rsidP="0074499C">
                        <w:pPr>
                          <w:jc w:val="right"/>
                          <w:rPr>
                            <w:rFonts w:ascii="Arial" w:hAnsi="Arial" w:cs="Arial"/>
                            <w:sz w:val="16"/>
                            <w:szCs w:val="16"/>
                          </w:rPr>
                        </w:pPr>
                        <w:r w:rsidRPr="006141C8">
                          <w:rPr>
                            <w:rFonts w:ascii="Arial" w:hAnsi="Arial" w:cs="Arial"/>
                            <w:sz w:val="16"/>
                            <w:szCs w:val="16"/>
                          </w:rPr>
                          <w:t>Fax: +49 6151 807 555</w:t>
                        </w:r>
                      </w:p>
                      <w:p w:rsidR="001D4D94" w:rsidRPr="006141C8" w:rsidRDefault="001D4D94" w:rsidP="0074499C">
                        <w:pPr>
                          <w:jc w:val="right"/>
                          <w:rPr>
                            <w:rFonts w:ascii="Arial" w:hAnsi="Arial" w:cs="Arial"/>
                            <w:sz w:val="16"/>
                            <w:szCs w:val="16"/>
                          </w:rPr>
                        </w:pPr>
                        <w:r w:rsidRPr="006141C8">
                          <w:rPr>
                            <w:rFonts w:ascii="Arial" w:hAnsi="Arial" w:cs="Arial"/>
                            <w:sz w:val="16"/>
                            <w:szCs w:val="16"/>
                          </w:rPr>
                          <w:t>http://www.eumetsat.int</w:t>
                        </w:r>
                      </w:p>
                      <w:p w:rsidR="001D4D94" w:rsidRDefault="001D4D94" w:rsidP="0074499C"/>
                    </w:txbxContent>
                  </v:textbox>
                </v:shape>
              </w:pict>
            </w:r>
          </w:p>
        </w:tc>
        <w:tc>
          <w:tcPr>
            <w:tcW w:w="283" w:type="dxa"/>
          </w:tcPr>
          <w:p w:rsidR="0074499C" w:rsidRPr="000E7FA3" w:rsidRDefault="0074499C" w:rsidP="0074499C">
            <w:pPr>
              <w:spacing w:before="60"/>
              <w:rPr>
                <w:rFonts w:ascii="Arial" w:hAnsi="Arial"/>
                <w:sz w:val="20"/>
              </w:rPr>
            </w:pPr>
          </w:p>
        </w:tc>
        <w:tc>
          <w:tcPr>
            <w:tcW w:w="3544" w:type="dxa"/>
          </w:tcPr>
          <w:p w:rsidR="0074499C" w:rsidRPr="000E7FA3" w:rsidRDefault="0074499C" w:rsidP="0074499C">
            <w:pPr>
              <w:spacing w:before="60"/>
              <w:rPr>
                <w:rFonts w:ascii="Arial" w:hAnsi="Arial"/>
                <w:sz w:val="20"/>
              </w:rPr>
            </w:pPr>
          </w:p>
        </w:tc>
      </w:tr>
      <w:tr w:rsidR="0074499C" w:rsidRPr="000E7FA3" w:rsidTr="006141C8">
        <w:tc>
          <w:tcPr>
            <w:tcW w:w="993" w:type="dxa"/>
          </w:tcPr>
          <w:p w:rsidR="0074499C" w:rsidRPr="000E7FA3" w:rsidRDefault="0074499C" w:rsidP="0074499C">
            <w:pPr>
              <w:spacing w:before="60"/>
              <w:rPr>
                <w:rFonts w:ascii="Arial" w:hAnsi="Arial"/>
                <w:sz w:val="20"/>
              </w:rPr>
            </w:pPr>
            <w:proofErr w:type="spellStart"/>
            <w:r w:rsidRPr="000E7FA3">
              <w:rPr>
                <w:rFonts w:ascii="Arial" w:hAnsi="Arial"/>
                <w:sz w:val="20"/>
              </w:rPr>
              <w:t>Doc.No</w:t>
            </w:r>
            <w:proofErr w:type="spellEnd"/>
            <w:r w:rsidRPr="000E7FA3">
              <w:rPr>
                <w:rFonts w:ascii="Arial" w:hAnsi="Arial"/>
                <w:sz w:val="20"/>
              </w:rPr>
              <w:t>.</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824A29" w:rsidP="00834225">
            <w:pPr>
              <w:spacing w:before="60"/>
              <w:rPr>
                <w:rFonts w:ascii="Arial" w:hAnsi="Arial"/>
                <w:sz w:val="20"/>
              </w:rPr>
            </w:pPr>
            <w:bookmarkStart w:id="2" w:name="E_DOC_NO01"/>
            <w:r>
              <w:rPr>
                <w:rFonts w:ascii="Arial" w:hAnsi="Arial"/>
                <w:sz w:val="20"/>
              </w:rPr>
              <w:t>EUM/RSP/TEN/16/872396</w:t>
            </w:r>
            <w:bookmarkEnd w:id="2"/>
          </w:p>
        </w:tc>
      </w:tr>
      <w:tr w:rsidR="0074499C" w:rsidRPr="000E7FA3" w:rsidTr="006141C8">
        <w:tc>
          <w:tcPr>
            <w:tcW w:w="993" w:type="dxa"/>
          </w:tcPr>
          <w:p w:rsidR="0074499C" w:rsidRPr="000E7FA3" w:rsidRDefault="0074499C" w:rsidP="0074499C">
            <w:pPr>
              <w:spacing w:before="60"/>
              <w:rPr>
                <w:rFonts w:ascii="Arial" w:hAnsi="Arial"/>
                <w:sz w:val="20"/>
              </w:rPr>
            </w:pPr>
            <w:r w:rsidRPr="000E7FA3">
              <w:rPr>
                <w:rFonts w:ascii="Arial" w:hAnsi="Arial"/>
                <w:sz w:val="20"/>
              </w:rPr>
              <w:t>Issue</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824A29" w:rsidP="00834225">
            <w:pPr>
              <w:spacing w:before="60"/>
              <w:rPr>
                <w:rFonts w:ascii="Arial" w:hAnsi="Arial"/>
                <w:sz w:val="20"/>
              </w:rPr>
            </w:pPr>
            <w:bookmarkStart w:id="3" w:name="E_VER_NO01"/>
            <w:r>
              <w:rPr>
                <w:rFonts w:ascii="Arial" w:hAnsi="Arial"/>
                <w:sz w:val="20"/>
              </w:rPr>
              <w:t>v1 Draft</w:t>
            </w:r>
            <w:bookmarkEnd w:id="3"/>
          </w:p>
        </w:tc>
      </w:tr>
      <w:tr w:rsidR="0074499C" w:rsidRPr="000E7FA3" w:rsidTr="006141C8">
        <w:tc>
          <w:tcPr>
            <w:tcW w:w="993" w:type="dxa"/>
          </w:tcPr>
          <w:p w:rsidR="0074499C" w:rsidRPr="000E7FA3" w:rsidRDefault="0074499C" w:rsidP="0074499C">
            <w:pPr>
              <w:spacing w:before="60"/>
              <w:rPr>
                <w:rFonts w:ascii="Arial" w:hAnsi="Arial"/>
                <w:sz w:val="20"/>
              </w:rPr>
            </w:pPr>
            <w:r w:rsidRPr="000E7FA3">
              <w:rPr>
                <w:rFonts w:ascii="Arial" w:hAnsi="Arial"/>
                <w:sz w:val="20"/>
              </w:rPr>
              <w:t>Date</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824A29" w:rsidP="00B45707">
            <w:pPr>
              <w:spacing w:before="60"/>
              <w:rPr>
                <w:rFonts w:ascii="Arial" w:hAnsi="Arial"/>
                <w:sz w:val="20"/>
              </w:rPr>
            </w:pPr>
            <w:bookmarkStart w:id="4" w:name="E_ISS_DATE_LONG01"/>
            <w:r>
              <w:rPr>
                <w:rFonts w:ascii="Arial" w:hAnsi="Arial"/>
                <w:sz w:val="20"/>
              </w:rPr>
              <w:t>29 August 2016</w:t>
            </w:r>
            <w:bookmarkEnd w:id="4"/>
          </w:p>
        </w:tc>
      </w:tr>
      <w:tr w:rsidR="0092180A" w:rsidRPr="000E7FA3" w:rsidTr="006141C8">
        <w:tc>
          <w:tcPr>
            <w:tcW w:w="993" w:type="dxa"/>
          </w:tcPr>
          <w:p w:rsidR="0092180A" w:rsidRPr="000E7FA3" w:rsidRDefault="0092180A" w:rsidP="0074499C">
            <w:pPr>
              <w:spacing w:before="60"/>
              <w:rPr>
                <w:rFonts w:ascii="Arial" w:hAnsi="Arial"/>
                <w:sz w:val="20"/>
              </w:rPr>
            </w:pPr>
            <w:r w:rsidRPr="000E7FA3">
              <w:rPr>
                <w:rFonts w:ascii="Arial" w:hAnsi="Arial"/>
                <w:sz w:val="20"/>
              </w:rPr>
              <w:t>WBS</w:t>
            </w:r>
            <w:r w:rsidR="004A332B" w:rsidRPr="000E7FA3">
              <w:rPr>
                <w:rFonts w:ascii="Arial" w:hAnsi="Arial"/>
                <w:sz w:val="20"/>
              </w:rPr>
              <w:t>/DBS</w:t>
            </w:r>
          </w:p>
        </w:tc>
        <w:tc>
          <w:tcPr>
            <w:tcW w:w="283" w:type="dxa"/>
          </w:tcPr>
          <w:p w:rsidR="0092180A" w:rsidRPr="000E7FA3" w:rsidRDefault="0092180A" w:rsidP="0074499C">
            <w:pPr>
              <w:spacing w:before="60"/>
              <w:rPr>
                <w:rFonts w:ascii="Arial" w:hAnsi="Arial"/>
                <w:sz w:val="20"/>
              </w:rPr>
            </w:pPr>
            <w:r w:rsidRPr="000E7FA3">
              <w:rPr>
                <w:rFonts w:ascii="Arial" w:hAnsi="Arial"/>
                <w:sz w:val="20"/>
              </w:rPr>
              <w:t>:</w:t>
            </w:r>
          </w:p>
        </w:tc>
        <w:tc>
          <w:tcPr>
            <w:tcW w:w="3544" w:type="dxa"/>
          </w:tcPr>
          <w:p w:rsidR="0092180A" w:rsidRPr="000E7FA3" w:rsidRDefault="00867B7D" w:rsidP="0074499C">
            <w:pPr>
              <w:spacing w:before="60"/>
              <w:rPr>
                <w:rFonts w:ascii="Arial" w:hAnsi="Arial"/>
                <w:sz w:val="20"/>
              </w:rPr>
            </w:pPr>
            <w:r w:rsidRPr="000E7FA3">
              <w:rPr>
                <w:rFonts w:ascii="Arial" w:hAnsi="Arial"/>
                <w:sz w:val="20"/>
              </w:rPr>
              <w:t xml:space="preserve"> </w:t>
            </w:r>
            <w:bookmarkStart w:id="5" w:name="E_WBS_CODE01"/>
            <w:bookmarkEnd w:id="5"/>
          </w:p>
        </w:tc>
      </w:tr>
    </w:tbl>
    <w:p w:rsidR="006917EA" w:rsidRPr="000E7FA3" w:rsidRDefault="006917EA">
      <w:pPr>
        <w:sectPr w:rsidR="006917EA" w:rsidRPr="000E7FA3" w:rsidSect="00DA184E">
          <w:headerReference w:type="default" r:id="rId8"/>
          <w:footerReference w:type="even" r:id="rId9"/>
          <w:footerReference w:type="default" r:id="rId10"/>
          <w:headerReference w:type="first" r:id="rId11"/>
          <w:footerReference w:type="first" r:id="rId12"/>
          <w:type w:val="oddPage"/>
          <w:pgSz w:w="11907" w:h="16840" w:code="9"/>
          <w:pgMar w:top="2268" w:right="1440" w:bottom="1134" w:left="1440" w:header="709" w:footer="567" w:gutter="0"/>
          <w:cols w:space="720"/>
          <w:titlePg/>
        </w:sectPr>
      </w:pPr>
    </w:p>
    <w:p w:rsidR="009E5268" w:rsidRPr="002F302A" w:rsidRDefault="009E5268" w:rsidP="002F302A">
      <w:pPr>
        <w:pStyle w:val="Heading0"/>
      </w:pPr>
      <w:r w:rsidRPr="002F302A">
        <w:lastRenderedPageBreak/>
        <w:t>Document Signature Table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2268"/>
        <w:gridCol w:w="1843"/>
        <w:gridCol w:w="2126"/>
        <w:gridCol w:w="1417"/>
      </w:tblGrid>
      <w:tr w:rsidR="009E5268" w:rsidRPr="000E7FA3" w:rsidTr="002D09F9">
        <w:trPr>
          <w:tblHeader/>
        </w:trPr>
        <w:tc>
          <w:tcPr>
            <w:tcW w:w="1418" w:type="dxa"/>
            <w:shd w:val="pct15" w:color="auto" w:fill="auto"/>
          </w:tcPr>
          <w:p w:rsidR="009E5268" w:rsidRPr="000E7FA3" w:rsidRDefault="009E5268" w:rsidP="008E0865">
            <w:pPr>
              <w:pStyle w:val="TableHeader"/>
              <w:keepNext/>
              <w:keepLines/>
            </w:pPr>
          </w:p>
        </w:tc>
        <w:tc>
          <w:tcPr>
            <w:tcW w:w="2268" w:type="dxa"/>
            <w:shd w:val="pct15" w:color="auto" w:fill="auto"/>
          </w:tcPr>
          <w:p w:rsidR="009E5268" w:rsidRPr="000E7FA3" w:rsidRDefault="009E5268" w:rsidP="008E0865">
            <w:pPr>
              <w:pStyle w:val="TableHeader"/>
              <w:keepNext/>
              <w:keepLines/>
            </w:pPr>
            <w:r w:rsidRPr="000E7FA3">
              <w:t>Name</w:t>
            </w:r>
          </w:p>
        </w:tc>
        <w:tc>
          <w:tcPr>
            <w:tcW w:w="1843" w:type="dxa"/>
            <w:shd w:val="pct15" w:color="auto" w:fill="auto"/>
          </w:tcPr>
          <w:p w:rsidR="009E5268" w:rsidRPr="000E7FA3" w:rsidRDefault="009E5268" w:rsidP="008E0865">
            <w:pPr>
              <w:pStyle w:val="TableHeader"/>
              <w:keepNext/>
              <w:keepLines/>
            </w:pPr>
            <w:r w:rsidRPr="000E7FA3">
              <w:t>Function</w:t>
            </w:r>
          </w:p>
        </w:tc>
        <w:tc>
          <w:tcPr>
            <w:tcW w:w="2126" w:type="dxa"/>
            <w:shd w:val="pct15" w:color="auto" w:fill="auto"/>
          </w:tcPr>
          <w:p w:rsidR="009E5268" w:rsidRPr="000E7FA3" w:rsidRDefault="009E5268" w:rsidP="008E0865">
            <w:pPr>
              <w:pStyle w:val="TableHeader"/>
              <w:keepNext/>
              <w:keepLines/>
            </w:pPr>
            <w:r w:rsidRPr="000E7FA3">
              <w:t>Signature</w:t>
            </w:r>
          </w:p>
        </w:tc>
        <w:tc>
          <w:tcPr>
            <w:tcW w:w="1417" w:type="dxa"/>
            <w:shd w:val="pct15" w:color="auto" w:fill="auto"/>
          </w:tcPr>
          <w:p w:rsidR="009E5268" w:rsidRPr="000E7FA3" w:rsidRDefault="009E5268" w:rsidP="008E0865">
            <w:pPr>
              <w:pStyle w:val="TableHeader"/>
              <w:keepNext/>
              <w:keepLines/>
            </w:pPr>
            <w:r w:rsidRPr="000E7FA3">
              <w:t>Date</w:t>
            </w:r>
          </w:p>
        </w:tc>
      </w:tr>
      <w:tr w:rsidR="009E5268" w:rsidRPr="000E7FA3" w:rsidTr="00386360">
        <w:tc>
          <w:tcPr>
            <w:tcW w:w="1418" w:type="dxa"/>
          </w:tcPr>
          <w:p w:rsidR="009E5268" w:rsidRPr="000E7FA3" w:rsidRDefault="009E5268" w:rsidP="00A96206">
            <w:pPr>
              <w:pStyle w:val="TableText"/>
              <w:keepNext/>
              <w:keepLines/>
              <w:jc w:val="left"/>
            </w:pPr>
            <w:r w:rsidRPr="000E7FA3">
              <w:t>Prepared by:</w:t>
            </w:r>
          </w:p>
        </w:tc>
        <w:tc>
          <w:tcPr>
            <w:tcW w:w="2268" w:type="dxa"/>
          </w:tcPr>
          <w:p w:rsidR="009E5268" w:rsidRPr="000E7FA3" w:rsidRDefault="00824A29" w:rsidP="00A96206">
            <w:pPr>
              <w:pStyle w:val="TableText"/>
              <w:keepNext/>
              <w:keepLines/>
              <w:jc w:val="left"/>
            </w:pPr>
            <w:bookmarkStart w:id="10" w:name="AUTHOR_FULL_NAME01"/>
            <w:r>
              <w:t>Tim Hewison</w:t>
            </w:r>
            <w:bookmarkEnd w:id="10"/>
          </w:p>
        </w:tc>
        <w:tc>
          <w:tcPr>
            <w:tcW w:w="1843" w:type="dxa"/>
          </w:tcPr>
          <w:p w:rsidR="009E5268" w:rsidRPr="000E7FA3" w:rsidRDefault="0042471A" w:rsidP="00A96206">
            <w:pPr>
              <w:pStyle w:val="TableText"/>
              <w:keepNext/>
              <w:keepLines/>
              <w:jc w:val="left"/>
            </w:pPr>
            <w:r>
              <w:t>Calibration Team Leader</w:t>
            </w:r>
          </w:p>
        </w:tc>
        <w:tc>
          <w:tcPr>
            <w:tcW w:w="2126" w:type="dxa"/>
          </w:tcPr>
          <w:p w:rsidR="009E5268" w:rsidRPr="000E7FA3" w:rsidRDefault="009E5268" w:rsidP="00A96206">
            <w:pPr>
              <w:pStyle w:val="TableText"/>
              <w:keepNext/>
              <w:keepLines/>
              <w:jc w:val="left"/>
            </w:pPr>
          </w:p>
        </w:tc>
        <w:tc>
          <w:tcPr>
            <w:tcW w:w="1417" w:type="dxa"/>
          </w:tcPr>
          <w:p w:rsidR="009E5268" w:rsidRPr="000E7FA3" w:rsidRDefault="009E5268" w:rsidP="00A96206">
            <w:pPr>
              <w:pStyle w:val="TableText"/>
              <w:keepNext/>
              <w:keepLines/>
              <w:jc w:val="left"/>
            </w:pPr>
          </w:p>
        </w:tc>
      </w:tr>
      <w:tr w:rsidR="0042471A" w:rsidTr="0042471A">
        <w:tc>
          <w:tcPr>
            <w:tcW w:w="1418" w:type="dxa"/>
          </w:tcPr>
          <w:p w:rsidR="0042471A" w:rsidRDefault="0042471A" w:rsidP="0042471A">
            <w:pPr>
              <w:pStyle w:val="InfoTableText"/>
              <w:keepNext/>
              <w:keepLines/>
              <w:jc w:val="left"/>
            </w:pPr>
            <w:r>
              <w:t>Reviewed by</w:t>
            </w:r>
          </w:p>
        </w:tc>
        <w:tc>
          <w:tcPr>
            <w:tcW w:w="2268" w:type="dxa"/>
          </w:tcPr>
          <w:p w:rsidR="0042471A" w:rsidRDefault="0042471A" w:rsidP="0042471A">
            <w:pPr>
              <w:pStyle w:val="InfoTableText"/>
              <w:keepNext/>
              <w:keepLines/>
              <w:jc w:val="left"/>
            </w:pPr>
            <w:r>
              <w:rPr>
                <w:color w:val="000000"/>
              </w:rPr>
              <w:t>Christopher Hanson</w:t>
            </w:r>
          </w:p>
        </w:tc>
        <w:tc>
          <w:tcPr>
            <w:tcW w:w="1843" w:type="dxa"/>
          </w:tcPr>
          <w:p w:rsidR="0042471A" w:rsidRDefault="0042471A" w:rsidP="0042471A">
            <w:pPr>
              <w:pStyle w:val="InfoTableText"/>
              <w:keepNext/>
              <w:keepLines/>
              <w:jc w:val="left"/>
            </w:pPr>
            <w:r>
              <w:rPr>
                <w:color w:val="000000"/>
              </w:rPr>
              <w:t>Competence Area Manager for INRC</w:t>
            </w:r>
          </w:p>
        </w:tc>
        <w:tc>
          <w:tcPr>
            <w:tcW w:w="2126" w:type="dxa"/>
          </w:tcPr>
          <w:p w:rsidR="0042471A" w:rsidRPr="000B7D5C" w:rsidRDefault="0042471A" w:rsidP="0042471A">
            <w:pPr>
              <w:pStyle w:val="InfoTableText"/>
              <w:keepNext/>
              <w:keepLines/>
              <w:jc w:val="left"/>
              <w:rPr>
                <w:b/>
                <w:bCs/>
              </w:rPr>
            </w:pPr>
          </w:p>
        </w:tc>
        <w:tc>
          <w:tcPr>
            <w:tcW w:w="1417" w:type="dxa"/>
          </w:tcPr>
          <w:p w:rsidR="0042471A" w:rsidRDefault="0042471A" w:rsidP="0042471A">
            <w:pPr>
              <w:pStyle w:val="InfoTableText"/>
              <w:keepNext/>
              <w:keepLines/>
              <w:jc w:val="left"/>
            </w:pPr>
          </w:p>
        </w:tc>
      </w:tr>
      <w:tr w:rsidR="0042471A" w:rsidRPr="000E7FA3" w:rsidTr="0042471A">
        <w:tc>
          <w:tcPr>
            <w:tcW w:w="1418" w:type="dxa"/>
            <w:tcBorders>
              <w:top w:val="single" w:sz="2" w:space="0" w:color="auto"/>
              <w:left w:val="single" w:sz="2" w:space="0" w:color="auto"/>
              <w:bottom w:val="single" w:sz="2" w:space="0" w:color="auto"/>
              <w:right w:val="single" w:sz="2" w:space="0" w:color="auto"/>
            </w:tcBorders>
          </w:tcPr>
          <w:p w:rsidR="0042471A" w:rsidRPr="007B257A" w:rsidRDefault="0042471A" w:rsidP="0042471A">
            <w:pPr>
              <w:pStyle w:val="InfoTableText"/>
            </w:pPr>
            <w:r w:rsidRPr="007B257A">
              <w:t>Reviewed by:</w:t>
            </w:r>
          </w:p>
        </w:tc>
        <w:tc>
          <w:tcPr>
            <w:tcW w:w="2268"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rPr>
                <w:color w:val="000000"/>
              </w:rPr>
            </w:pPr>
          </w:p>
        </w:tc>
        <w:tc>
          <w:tcPr>
            <w:tcW w:w="1843"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jc w:val="left"/>
              <w:rPr>
                <w:color w:val="000000"/>
              </w:rPr>
            </w:pPr>
          </w:p>
        </w:tc>
        <w:tc>
          <w:tcPr>
            <w:tcW w:w="2126"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rPr>
                <w:b/>
                <w:bCs/>
              </w:rPr>
            </w:pPr>
          </w:p>
        </w:tc>
        <w:tc>
          <w:tcPr>
            <w:tcW w:w="1417" w:type="dxa"/>
            <w:tcBorders>
              <w:top w:val="single" w:sz="2" w:space="0" w:color="auto"/>
              <w:left w:val="single" w:sz="2" w:space="0" w:color="auto"/>
              <w:bottom w:val="single" w:sz="2" w:space="0" w:color="auto"/>
              <w:right w:val="single" w:sz="2" w:space="0" w:color="auto"/>
            </w:tcBorders>
          </w:tcPr>
          <w:p w:rsidR="0042471A" w:rsidRPr="000E7FA3" w:rsidRDefault="0042471A" w:rsidP="0042471A">
            <w:pPr>
              <w:pStyle w:val="InfoTableText"/>
            </w:pPr>
          </w:p>
        </w:tc>
      </w:tr>
      <w:tr w:rsidR="0042471A" w:rsidRPr="000E7FA3" w:rsidTr="0042471A">
        <w:tc>
          <w:tcPr>
            <w:tcW w:w="1418" w:type="dxa"/>
            <w:tcBorders>
              <w:top w:val="single" w:sz="2" w:space="0" w:color="auto"/>
              <w:left w:val="single" w:sz="2" w:space="0" w:color="auto"/>
              <w:bottom w:val="single" w:sz="2" w:space="0" w:color="auto"/>
              <w:right w:val="single" w:sz="2" w:space="0" w:color="auto"/>
            </w:tcBorders>
          </w:tcPr>
          <w:p w:rsidR="0042471A" w:rsidRPr="007B257A" w:rsidRDefault="0042471A" w:rsidP="0042471A">
            <w:pPr>
              <w:pStyle w:val="InfoTableText"/>
            </w:pPr>
            <w:r w:rsidRPr="007B257A">
              <w:t>Approved by:</w:t>
            </w:r>
          </w:p>
        </w:tc>
        <w:tc>
          <w:tcPr>
            <w:tcW w:w="2268"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rPr>
                <w:color w:val="000000"/>
              </w:rPr>
            </w:pPr>
          </w:p>
        </w:tc>
        <w:tc>
          <w:tcPr>
            <w:tcW w:w="1843"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jc w:val="left"/>
              <w:rPr>
                <w:color w:val="000000"/>
              </w:rPr>
            </w:pPr>
          </w:p>
        </w:tc>
        <w:tc>
          <w:tcPr>
            <w:tcW w:w="2126"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rPr>
                <w:b/>
                <w:bCs/>
              </w:rPr>
            </w:pPr>
          </w:p>
        </w:tc>
        <w:tc>
          <w:tcPr>
            <w:tcW w:w="1417" w:type="dxa"/>
            <w:tcBorders>
              <w:top w:val="single" w:sz="2" w:space="0" w:color="auto"/>
              <w:left w:val="single" w:sz="2" w:space="0" w:color="auto"/>
              <w:bottom w:val="single" w:sz="2" w:space="0" w:color="auto"/>
              <w:right w:val="single" w:sz="2" w:space="0" w:color="auto"/>
            </w:tcBorders>
          </w:tcPr>
          <w:p w:rsidR="0042471A" w:rsidRPr="000E7FA3" w:rsidRDefault="0042471A" w:rsidP="0042471A">
            <w:pPr>
              <w:pStyle w:val="InfoTableText"/>
            </w:pPr>
          </w:p>
        </w:tc>
      </w:tr>
    </w:tbl>
    <w:p w:rsidR="008E0865" w:rsidRPr="00226C6B" w:rsidRDefault="008E0865" w:rsidP="008E0865">
      <w:pPr>
        <w:rPr>
          <w:rFonts w:ascii="Arial" w:hAnsi="Arial"/>
          <w:sz w:val="28"/>
        </w:rPr>
      </w:pPr>
    </w:p>
    <w:p w:rsidR="009E5268" w:rsidRPr="002F302A" w:rsidRDefault="009E5268" w:rsidP="00226C6B">
      <w:pPr>
        <w:pStyle w:val="Heading0"/>
        <w:pageBreakBefore w:val="0"/>
      </w:pPr>
      <w:r w:rsidRPr="002F302A">
        <w:t>Distribution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3543"/>
      </w:tblGrid>
      <w:tr w:rsidR="009E5268" w:rsidRPr="000E7FA3" w:rsidTr="002D09F9">
        <w:trPr>
          <w:tblHeader/>
        </w:trPr>
        <w:tc>
          <w:tcPr>
            <w:tcW w:w="5529" w:type="dxa"/>
            <w:shd w:val="pct15" w:color="auto" w:fill="auto"/>
          </w:tcPr>
          <w:p w:rsidR="009E5268" w:rsidRPr="000E7FA3" w:rsidRDefault="009E5268" w:rsidP="008E0865">
            <w:pPr>
              <w:pStyle w:val="TableHeader"/>
              <w:keepNext/>
              <w:keepLines/>
            </w:pPr>
            <w:r w:rsidRPr="000E7FA3">
              <w:t>Name</w:t>
            </w:r>
          </w:p>
        </w:tc>
        <w:tc>
          <w:tcPr>
            <w:tcW w:w="3543" w:type="dxa"/>
            <w:shd w:val="pct15" w:color="auto" w:fill="auto"/>
          </w:tcPr>
          <w:p w:rsidR="009E5268" w:rsidRPr="000E7FA3" w:rsidRDefault="008C5824" w:rsidP="008E0865">
            <w:pPr>
              <w:pStyle w:val="TableHeader"/>
              <w:keepNext/>
              <w:keepLines/>
            </w:pPr>
            <w:r w:rsidRPr="000E7FA3">
              <w:t>Organisation</w:t>
            </w:r>
          </w:p>
        </w:tc>
      </w:tr>
      <w:tr w:rsidR="009E5268" w:rsidRPr="000E7FA3" w:rsidTr="00386360">
        <w:tc>
          <w:tcPr>
            <w:tcW w:w="5529" w:type="dxa"/>
          </w:tcPr>
          <w:p w:rsidR="009E5268" w:rsidRPr="000E7FA3" w:rsidRDefault="009E5268" w:rsidP="00A96206">
            <w:pPr>
              <w:pStyle w:val="TableText"/>
              <w:keepNext/>
              <w:keepLines/>
              <w:jc w:val="left"/>
            </w:pPr>
            <w:bookmarkStart w:id="11" w:name="E_INT_CC101"/>
            <w:bookmarkEnd w:id="11"/>
          </w:p>
        </w:tc>
        <w:tc>
          <w:tcPr>
            <w:tcW w:w="3543" w:type="dxa"/>
          </w:tcPr>
          <w:p w:rsidR="009E5268" w:rsidRPr="000E7FA3" w:rsidRDefault="0042471A" w:rsidP="00A96206">
            <w:pPr>
              <w:pStyle w:val="TableText"/>
              <w:keepNext/>
              <w:keepLines/>
              <w:jc w:val="left"/>
            </w:pPr>
            <w:r>
              <w:t>EUMETSAT</w:t>
            </w:r>
          </w:p>
        </w:tc>
      </w:tr>
      <w:tr w:rsidR="008E0865" w:rsidRPr="000E7FA3" w:rsidTr="00386360">
        <w:tc>
          <w:tcPr>
            <w:tcW w:w="5529" w:type="dxa"/>
          </w:tcPr>
          <w:p w:rsidR="008E0865" w:rsidRPr="000E7FA3" w:rsidRDefault="008E0865" w:rsidP="00A96206">
            <w:pPr>
              <w:pStyle w:val="TableText"/>
              <w:keepNext/>
              <w:keepLines/>
              <w:jc w:val="left"/>
            </w:pPr>
          </w:p>
        </w:tc>
        <w:tc>
          <w:tcPr>
            <w:tcW w:w="3543" w:type="dxa"/>
          </w:tcPr>
          <w:p w:rsidR="008E0865" w:rsidRPr="000E7FA3" w:rsidRDefault="008E0865" w:rsidP="00A96206">
            <w:pPr>
              <w:pStyle w:val="TableText"/>
              <w:keepNext/>
              <w:keepLines/>
              <w:jc w:val="left"/>
            </w:pPr>
          </w:p>
        </w:tc>
      </w:tr>
    </w:tbl>
    <w:p w:rsidR="002F302A" w:rsidRDefault="002F302A" w:rsidP="002F302A">
      <w:pPr>
        <w:rPr>
          <w:rFonts w:ascii="Arial" w:hAnsi="Arial"/>
          <w:sz w:val="28"/>
        </w:rPr>
      </w:pPr>
    </w:p>
    <w:p w:rsidR="008E0865" w:rsidRPr="002F302A" w:rsidRDefault="008E0865" w:rsidP="002F302A">
      <w:pPr>
        <w:pStyle w:val="Heading0"/>
      </w:pPr>
      <w:r w:rsidRPr="002F302A">
        <w:lastRenderedPageBreak/>
        <w:t>Document Change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276"/>
        <w:gridCol w:w="1985"/>
        <w:gridCol w:w="850"/>
        <w:gridCol w:w="4961"/>
      </w:tblGrid>
      <w:tr w:rsidR="008E0865" w:rsidRPr="000E7FA3" w:rsidTr="002A074D">
        <w:trPr>
          <w:tblHeader/>
        </w:trPr>
        <w:tc>
          <w:tcPr>
            <w:tcW w:w="1276" w:type="dxa"/>
            <w:shd w:val="pct15" w:color="auto" w:fill="auto"/>
          </w:tcPr>
          <w:p w:rsidR="008E0865" w:rsidRPr="000E7FA3" w:rsidRDefault="008E0865" w:rsidP="008E0865">
            <w:pPr>
              <w:pStyle w:val="TableHeader"/>
              <w:keepNext/>
              <w:keepLines/>
            </w:pPr>
            <w:r w:rsidRPr="000E7FA3">
              <w:t>Issue / Revision</w:t>
            </w:r>
          </w:p>
        </w:tc>
        <w:tc>
          <w:tcPr>
            <w:tcW w:w="1985" w:type="dxa"/>
            <w:shd w:val="pct15" w:color="auto" w:fill="auto"/>
          </w:tcPr>
          <w:p w:rsidR="008E0865" w:rsidRPr="000E7FA3" w:rsidRDefault="008E0865" w:rsidP="008E0865">
            <w:pPr>
              <w:pStyle w:val="TableHeader"/>
              <w:keepNext/>
              <w:keepLines/>
            </w:pPr>
            <w:r w:rsidRPr="000E7FA3">
              <w:t>Date</w:t>
            </w:r>
          </w:p>
        </w:tc>
        <w:tc>
          <w:tcPr>
            <w:tcW w:w="850" w:type="dxa"/>
            <w:shd w:val="pct15" w:color="auto" w:fill="auto"/>
          </w:tcPr>
          <w:p w:rsidR="008E0865" w:rsidRPr="000E7FA3" w:rsidRDefault="008E0865" w:rsidP="008E0865">
            <w:pPr>
              <w:pStyle w:val="TableHeader"/>
              <w:keepNext/>
              <w:keepLines/>
            </w:pPr>
            <w:r w:rsidRPr="000E7FA3">
              <w:t>DCN. No</w:t>
            </w:r>
          </w:p>
        </w:tc>
        <w:tc>
          <w:tcPr>
            <w:tcW w:w="4961" w:type="dxa"/>
            <w:shd w:val="pct15" w:color="auto" w:fill="auto"/>
          </w:tcPr>
          <w:p w:rsidR="008E0865" w:rsidRPr="000E7FA3" w:rsidRDefault="008E0865" w:rsidP="008E0865">
            <w:pPr>
              <w:pStyle w:val="TableHeader"/>
              <w:keepNext/>
              <w:keepLines/>
            </w:pPr>
            <w:r w:rsidRPr="000E7FA3">
              <w:t>Changed Pages / Paragraphs</w:t>
            </w:r>
          </w:p>
        </w:tc>
      </w:tr>
      <w:tr w:rsidR="0042471A" w:rsidTr="0042471A">
        <w:tc>
          <w:tcPr>
            <w:tcW w:w="1276" w:type="dxa"/>
          </w:tcPr>
          <w:p w:rsidR="0042471A" w:rsidRDefault="0042471A" w:rsidP="0042471A">
            <w:pPr>
              <w:pStyle w:val="InfoTableText"/>
              <w:keepNext/>
              <w:keepLines/>
              <w:jc w:val="center"/>
            </w:pPr>
            <w:r>
              <w:t>v1A</w:t>
            </w:r>
          </w:p>
        </w:tc>
        <w:tc>
          <w:tcPr>
            <w:tcW w:w="1985" w:type="dxa"/>
          </w:tcPr>
          <w:p w:rsidR="0042471A" w:rsidRDefault="00AD7A0C" w:rsidP="0042471A">
            <w:pPr>
              <w:pStyle w:val="InfoTableText"/>
              <w:keepNext/>
              <w:keepLines/>
              <w:jc w:val="center"/>
            </w:pPr>
            <w:r>
              <w:t>29/08</w:t>
            </w:r>
            <w:r w:rsidR="0042471A">
              <w:t>/201</w:t>
            </w:r>
            <w:r>
              <w:t>7</w:t>
            </w:r>
          </w:p>
        </w:tc>
        <w:tc>
          <w:tcPr>
            <w:tcW w:w="850" w:type="dxa"/>
          </w:tcPr>
          <w:p w:rsidR="0042471A" w:rsidRDefault="0042471A" w:rsidP="0042471A">
            <w:pPr>
              <w:pStyle w:val="InfoTableText"/>
              <w:keepNext/>
              <w:keepLines/>
              <w:jc w:val="left"/>
            </w:pPr>
          </w:p>
        </w:tc>
        <w:tc>
          <w:tcPr>
            <w:tcW w:w="4961" w:type="dxa"/>
          </w:tcPr>
          <w:p w:rsidR="0042471A" w:rsidRPr="00AD7A0C" w:rsidRDefault="00AD7A0C" w:rsidP="00AD7A0C">
            <w:pPr>
              <w:pStyle w:val="NormalWeb"/>
              <w:spacing w:before="0" w:beforeAutospacing="0" w:after="0" w:afterAutospacing="0"/>
              <w:rPr>
                <w:rFonts w:ascii="Arial" w:hAnsi="Arial" w:cs="Arial"/>
                <w:sz w:val="20"/>
              </w:rPr>
            </w:pPr>
            <w:r w:rsidRPr="00AD7A0C">
              <w:rPr>
                <w:rFonts w:ascii="Arial" w:hAnsi="Arial" w:cs="Arial"/>
                <w:sz w:val="20"/>
              </w:rPr>
              <w:t xml:space="preserve">Initial draft, based on text </w:t>
            </w:r>
            <w:hyperlink r:id="rId13" w:history="1">
              <w:r w:rsidRPr="00AD7A0C">
                <w:rPr>
                  <w:rStyle w:val="Hyperlink"/>
                  <w:rFonts w:ascii="Arial" w:hAnsi="Arial" w:cs="Arial"/>
                  <w:color w:val="1155CC"/>
                  <w:sz w:val="20"/>
                </w:rPr>
                <w:t>ATBD</w:t>
              </w:r>
            </w:hyperlink>
            <w:r w:rsidRPr="00AD7A0C">
              <w:rPr>
                <w:rFonts w:ascii="Arial" w:hAnsi="Arial" w:cs="Arial"/>
                <w:color w:val="000000"/>
                <w:sz w:val="20"/>
              </w:rPr>
              <w:t xml:space="preserve">, updated to use results from IASI Conference poster: </w:t>
            </w:r>
            <w:hyperlink r:id="rId14" w:history="1">
              <w:r w:rsidRPr="00AD7A0C">
                <w:rPr>
                  <w:rStyle w:val="Hyperlink"/>
                  <w:rFonts w:ascii="Arial" w:hAnsi="Arial" w:cs="Arial"/>
                  <w:color w:val="1155CC"/>
                  <w:sz w:val="20"/>
                </w:rPr>
                <w:t>IASI2016 Hewison Poster Prime GSICS Correction</w:t>
              </w:r>
            </w:hyperlink>
          </w:p>
        </w:tc>
      </w:tr>
    </w:tbl>
    <w:p w:rsidR="008E0865" w:rsidRPr="00226C6B" w:rsidRDefault="008E0865" w:rsidP="00226C6B">
      <w:pPr>
        <w:jc w:val="left"/>
        <w:rPr>
          <w:rFonts w:ascii="Arial" w:hAnsi="Arial"/>
          <w:b/>
          <w:i/>
          <w:sz w:val="28"/>
        </w:rPr>
      </w:pPr>
    </w:p>
    <w:p w:rsidR="009E5268" w:rsidRPr="000E7FA3" w:rsidRDefault="009E5268" w:rsidP="00175505">
      <w:pPr>
        <w:pStyle w:val="Heading0"/>
      </w:pPr>
      <w:r w:rsidRPr="000E7FA3">
        <w:lastRenderedPageBreak/>
        <w:t>Table of Contents</w:t>
      </w:r>
    </w:p>
    <w:p w:rsidR="00490011" w:rsidRDefault="00E85D96">
      <w:pPr>
        <w:pStyle w:val="TOC1"/>
        <w:rPr>
          <w:rFonts w:asciiTheme="minorHAnsi" w:eastAsiaTheme="minorEastAsia" w:hAnsiTheme="minorHAnsi" w:cstheme="minorBidi"/>
          <w:b w:val="0"/>
          <w:caps w:val="0"/>
          <w:sz w:val="22"/>
          <w:szCs w:val="22"/>
        </w:rPr>
      </w:pPr>
      <w:r w:rsidRPr="00E85D96">
        <w:fldChar w:fldCharType="begin"/>
      </w:r>
      <w:r w:rsidR="004A4E99" w:rsidRPr="000E7FA3">
        <w:instrText xml:space="preserve"> TOC \o "1-5" \t "Appendix 1,1,Appendix 2,2,Appendix 3,3,Appendix 4,4" </w:instrText>
      </w:r>
      <w:r w:rsidRPr="00E85D96">
        <w:fldChar w:fldCharType="separate"/>
      </w:r>
      <w:r w:rsidR="00490011">
        <w:t>1</w:t>
      </w:r>
      <w:r w:rsidR="00490011">
        <w:rPr>
          <w:rFonts w:asciiTheme="minorHAnsi" w:eastAsiaTheme="minorEastAsia" w:hAnsiTheme="minorHAnsi" w:cstheme="minorBidi"/>
          <w:b w:val="0"/>
          <w:caps w:val="0"/>
          <w:sz w:val="22"/>
          <w:szCs w:val="22"/>
        </w:rPr>
        <w:tab/>
      </w:r>
      <w:r w:rsidR="00490011">
        <w:t>Introduction</w:t>
      </w:r>
      <w:r w:rsidR="00490011">
        <w:tab/>
      </w:r>
      <w:r>
        <w:fldChar w:fldCharType="begin"/>
      </w:r>
      <w:r w:rsidR="00490011">
        <w:instrText xml:space="preserve"> PAGEREF _Toc460253928 \h </w:instrText>
      </w:r>
      <w:r>
        <w:fldChar w:fldCharType="separate"/>
      </w:r>
      <w:r w:rsidR="00490011">
        <w:t>5</w:t>
      </w:r>
      <w:r>
        <w:fldChar w:fldCharType="end"/>
      </w:r>
    </w:p>
    <w:p w:rsidR="00490011" w:rsidRDefault="00490011">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Reference Documents</w:t>
      </w:r>
      <w:r>
        <w:tab/>
      </w:r>
      <w:r w:rsidR="00E85D96">
        <w:fldChar w:fldCharType="begin"/>
      </w:r>
      <w:r>
        <w:instrText xml:space="preserve"> PAGEREF _Toc460253929 \h </w:instrText>
      </w:r>
      <w:r w:rsidR="00E85D96">
        <w:fldChar w:fldCharType="separate"/>
      </w:r>
      <w:r>
        <w:t>5</w:t>
      </w:r>
      <w:r w:rsidR="00E85D96">
        <w:fldChar w:fldCharType="end"/>
      </w:r>
    </w:p>
    <w:p w:rsidR="00490011" w:rsidRDefault="00490011">
      <w:pPr>
        <w:pStyle w:val="TOC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IASI-A/B Double Difference Analysis</w:t>
      </w:r>
      <w:r>
        <w:tab/>
      </w:r>
      <w:r w:rsidR="00E85D96">
        <w:fldChar w:fldCharType="begin"/>
      </w:r>
      <w:r>
        <w:instrText xml:space="preserve"> PAGEREF _Toc460253930 \h </w:instrText>
      </w:r>
      <w:r w:rsidR="00E85D96">
        <w:fldChar w:fldCharType="separate"/>
      </w:r>
      <w:r>
        <w:t>6</w:t>
      </w:r>
      <w:r w:rsidR="00E85D96">
        <w:fldChar w:fldCharType="end"/>
      </w:r>
    </w:p>
    <w:p w:rsidR="00490011" w:rsidRDefault="00490011">
      <w:pPr>
        <w:pStyle w:val="TOC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Conclusions</w:t>
      </w:r>
      <w:r>
        <w:tab/>
      </w:r>
      <w:r w:rsidR="00E85D96">
        <w:fldChar w:fldCharType="begin"/>
      </w:r>
      <w:r>
        <w:instrText xml:space="preserve"> PAGEREF _Toc460253931 \h </w:instrText>
      </w:r>
      <w:r w:rsidR="00E85D96">
        <w:fldChar w:fldCharType="separate"/>
      </w:r>
      <w:r>
        <w:t>8</w:t>
      </w:r>
      <w:r w:rsidR="00E85D96">
        <w:fldChar w:fldCharType="end"/>
      </w:r>
    </w:p>
    <w:p w:rsidR="00DA184E" w:rsidRDefault="00E85D96" w:rsidP="00023695">
      <w:pPr>
        <w:pStyle w:val="Heading0"/>
        <w:pageBreakBefore w:val="0"/>
        <w:rPr>
          <w:noProof/>
          <w:sz w:val="20"/>
        </w:rPr>
      </w:pPr>
      <w:r w:rsidRPr="000E7FA3">
        <w:rPr>
          <w:noProof/>
          <w:sz w:val="20"/>
        </w:rPr>
        <w:fldChar w:fldCharType="end"/>
      </w:r>
    </w:p>
    <w:p w:rsidR="00490011" w:rsidRDefault="006675DA" w:rsidP="00023695">
      <w:pPr>
        <w:pStyle w:val="Heading0"/>
        <w:pageBreakBefore w:val="0"/>
        <w:rPr>
          <w:noProof/>
        </w:rPr>
      </w:pPr>
      <w:r w:rsidRPr="000E7FA3">
        <w:t>Table of Figures</w:t>
      </w:r>
      <w:r w:rsidR="00E85D96" w:rsidRPr="00E85D96">
        <w:rPr>
          <w:b w:val="0"/>
          <w:noProof/>
          <w:vanish/>
          <w:sz w:val="20"/>
        </w:rPr>
        <w:fldChar w:fldCharType="begin"/>
      </w:r>
      <w:r w:rsidRPr="000E7FA3">
        <w:rPr>
          <w:b w:val="0"/>
          <w:noProof/>
          <w:vanish/>
          <w:sz w:val="20"/>
        </w:rPr>
        <w:instrText xml:space="preserve"> TOC \h \z \c "Figure" </w:instrText>
      </w:r>
      <w:r w:rsidR="00E85D96" w:rsidRPr="00E85D96">
        <w:rPr>
          <w:b w:val="0"/>
          <w:noProof/>
          <w:vanish/>
          <w:sz w:val="20"/>
        </w:rPr>
        <w:fldChar w:fldCharType="separate"/>
      </w:r>
    </w:p>
    <w:p w:rsidR="00490011" w:rsidRDefault="00E85D96">
      <w:pPr>
        <w:pStyle w:val="TableofFigures"/>
        <w:rPr>
          <w:rFonts w:asciiTheme="minorHAnsi" w:eastAsiaTheme="minorEastAsia" w:hAnsiTheme="minorHAnsi" w:cstheme="minorBidi"/>
          <w:sz w:val="22"/>
          <w:szCs w:val="22"/>
        </w:rPr>
      </w:pPr>
      <w:hyperlink w:anchor="_Toc460253932" w:history="1">
        <w:r w:rsidR="00490011" w:rsidRPr="00E71F5B">
          <w:rPr>
            <w:rStyle w:val="Hyperlink"/>
          </w:rPr>
          <w:t>Figure 1 –Time Series of Radiance Biases (in K) calculated for Standard Radiance Scene from GSICS Re-Analysis Corrections for IR13.4 channel of Meteosat-10/SEVIRI with respect to Metop-A/IASI (red) and Metop-B/IASI (blue).</w:t>
        </w:r>
        <w:r w:rsidR="00490011">
          <w:rPr>
            <w:webHidden/>
          </w:rPr>
          <w:tab/>
        </w:r>
        <w:r>
          <w:rPr>
            <w:webHidden/>
          </w:rPr>
          <w:fldChar w:fldCharType="begin"/>
        </w:r>
        <w:r w:rsidR="00490011">
          <w:rPr>
            <w:webHidden/>
          </w:rPr>
          <w:instrText xml:space="preserve"> PAGEREF _Toc460253932 \h </w:instrText>
        </w:r>
        <w:r>
          <w:rPr>
            <w:webHidden/>
          </w:rPr>
        </w:r>
        <w:r>
          <w:rPr>
            <w:webHidden/>
          </w:rPr>
          <w:fldChar w:fldCharType="separate"/>
        </w:r>
        <w:r w:rsidR="00490011">
          <w:rPr>
            <w:webHidden/>
          </w:rPr>
          <w:t>6</w:t>
        </w:r>
        <w:r>
          <w:rPr>
            <w:webHidden/>
          </w:rPr>
          <w:fldChar w:fldCharType="end"/>
        </w:r>
      </w:hyperlink>
    </w:p>
    <w:p w:rsidR="00490011" w:rsidRDefault="00E85D96">
      <w:pPr>
        <w:pStyle w:val="TableofFigures"/>
        <w:rPr>
          <w:rFonts w:asciiTheme="minorHAnsi" w:eastAsiaTheme="minorEastAsia" w:hAnsiTheme="minorHAnsi" w:cstheme="minorBidi"/>
          <w:sz w:val="22"/>
          <w:szCs w:val="22"/>
        </w:rPr>
      </w:pPr>
      <w:hyperlink w:anchor="_Toc460253933" w:history="1">
        <w:r w:rsidR="00490011" w:rsidRPr="00E71F5B">
          <w:rPr>
            <w:rStyle w:val="Hyperlink"/>
          </w:rPr>
          <w:t>Figure 2 – Radiance-dependence of IASIB-IASIA Double Difference, calculated over 3 years 2013-03/2016-03. The error bars represent k=1 uncertainty on mean difference. Red diamond = standard scene.</w:t>
        </w:r>
        <w:r w:rsidR="00490011">
          <w:rPr>
            <w:webHidden/>
          </w:rPr>
          <w:tab/>
        </w:r>
        <w:r>
          <w:rPr>
            <w:webHidden/>
          </w:rPr>
          <w:fldChar w:fldCharType="begin"/>
        </w:r>
        <w:r w:rsidR="00490011">
          <w:rPr>
            <w:webHidden/>
          </w:rPr>
          <w:instrText xml:space="preserve"> PAGEREF _Toc460253933 \h </w:instrText>
        </w:r>
        <w:r>
          <w:rPr>
            <w:webHidden/>
          </w:rPr>
        </w:r>
        <w:r>
          <w:rPr>
            <w:webHidden/>
          </w:rPr>
          <w:fldChar w:fldCharType="separate"/>
        </w:r>
        <w:r w:rsidR="00490011">
          <w:rPr>
            <w:webHidden/>
          </w:rPr>
          <w:t>7</w:t>
        </w:r>
        <w:r>
          <w:rPr>
            <w:webHidden/>
          </w:rPr>
          <w:fldChar w:fldCharType="end"/>
        </w:r>
      </w:hyperlink>
    </w:p>
    <w:p w:rsidR="0012259E" w:rsidRPr="000E7FA3" w:rsidRDefault="00E85D96" w:rsidP="0042471A">
      <w:pPr>
        <w:rPr>
          <w:noProof/>
        </w:rPr>
      </w:pPr>
      <w:r w:rsidRPr="000E7FA3">
        <w:rPr>
          <w:noProof/>
          <w:vanish/>
          <w:sz w:val="20"/>
        </w:rPr>
        <w:fldChar w:fldCharType="end"/>
      </w:r>
    </w:p>
    <w:p w:rsidR="0042471A" w:rsidRPr="00800E93" w:rsidRDefault="003E23C5" w:rsidP="0042471A">
      <w:pPr>
        <w:pStyle w:val="Heading1"/>
      </w:pPr>
      <w:bookmarkStart w:id="12" w:name="_Toc460253928"/>
      <w:r>
        <w:lastRenderedPageBreak/>
        <w:t>Introduction</w:t>
      </w:r>
      <w:bookmarkEnd w:id="12"/>
    </w:p>
    <w:p w:rsidR="001D4D94" w:rsidRDefault="001D4D94" w:rsidP="001D4D94">
      <w:pPr>
        <w:spacing w:line="276" w:lineRule="auto"/>
        <w:rPr>
          <w:szCs w:val="24"/>
        </w:rPr>
      </w:pPr>
    </w:p>
    <w:p w:rsidR="001D4D94" w:rsidRPr="001D4D94" w:rsidRDefault="001D4D94" w:rsidP="001D4D94">
      <w:pPr>
        <w:spacing w:line="276" w:lineRule="auto"/>
        <w:rPr>
          <w:szCs w:val="24"/>
        </w:rPr>
      </w:pPr>
      <w:r w:rsidRPr="001D4D94">
        <w:rPr>
          <w:szCs w:val="24"/>
        </w:rPr>
        <w:t>This report provides a preliminary validation of the EUMETSAT implementation of the “Prime GSICS correction” algorithm to inter-calibrate the infrared channels of the geostationary Meteosat/SEVIRI, using comparisons with multiple IASI reference instruments, adjusted to be consistent with Metop-A/IASI, as the Anchor Reference. Double-differences of GSICS Corrections derived using the IASIs on Metop-A and -B are used to define a delta correction, which allows comparisons with multiple references to be combined, based on their relative uncertainties, in a way metrologically consistent with the Anchor Reference. These support the creation of Fundamental Climate Data Records, spanning extended periods with multiple reference instruments.</w:t>
      </w:r>
    </w:p>
    <w:p w:rsidR="001D4D94" w:rsidRDefault="001D4D94" w:rsidP="001D4D94">
      <w:pPr>
        <w:spacing w:line="276" w:lineRule="auto"/>
        <w:rPr>
          <w:szCs w:val="24"/>
        </w:rPr>
      </w:pPr>
    </w:p>
    <w:p w:rsidR="00490011" w:rsidRPr="001D4D94" w:rsidRDefault="00490011" w:rsidP="001D4D94">
      <w:pPr>
        <w:spacing w:line="276" w:lineRule="auto"/>
        <w:rPr>
          <w:szCs w:val="24"/>
        </w:rPr>
      </w:pPr>
      <w:r>
        <w:rPr>
          <w:szCs w:val="24"/>
        </w:rPr>
        <w:t xml:space="preserve">These results are based on an independent analysis of the results from those presented in the ATBD, which already include a discussion of the product’s quoted uncertainties. Instead the focus here is on </w:t>
      </w:r>
      <w:r w:rsidR="00164DAD">
        <w:rPr>
          <w:szCs w:val="24"/>
        </w:rPr>
        <w:t xml:space="preserve">the reliability of the product’s generation and distribution, and on its </w:t>
      </w:r>
      <w:r>
        <w:rPr>
          <w:szCs w:val="24"/>
        </w:rPr>
        <w:t>use as a tool for monitoring the relative calibration of different reference instruments – in this case, Metop-A/IASI and Metop-B/IASI.</w:t>
      </w:r>
    </w:p>
    <w:p w:rsidR="001D4D94" w:rsidRDefault="001D4D94" w:rsidP="001D4D94">
      <w:pPr>
        <w:spacing w:line="276" w:lineRule="auto"/>
        <w:rPr>
          <w:szCs w:val="24"/>
        </w:rPr>
      </w:pPr>
    </w:p>
    <w:p w:rsidR="0042471A" w:rsidRPr="00885EBF" w:rsidRDefault="0042471A" w:rsidP="0042471A">
      <w:pPr>
        <w:rPr>
          <w:szCs w:val="24"/>
        </w:rPr>
      </w:pPr>
      <w:bookmarkStart w:id="13" w:name="_Toc311036661"/>
      <w:r w:rsidRPr="00885EBF">
        <w:rPr>
          <w:szCs w:val="24"/>
        </w:rPr>
        <w:t xml:space="preserve"> </w:t>
      </w:r>
    </w:p>
    <w:p w:rsidR="0042471A" w:rsidRPr="000E7FA3" w:rsidRDefault="0042471A" w:rsidP="00EA692E">
      <w:pPr>
        <w:pStyle w:val="Heading2"/>
        <w:numPr>
          <w:ilvl w:val="1"/>
          <w:numId w:val="1"/>
        </w:numPr>
      </w:pPr>
      <w:bookmarkStart w:id="14" w:name="_Toc311036662"/>
      <w:bookmarkStart w:id="15" w:name="_Toc415158056"/>
      <w:bookmarkStart w:id="16" w:name="_Toc460253929"/>
      <w:r w:rsidRPr="000E7FA3">
        <w:t>Reference Documents</w:t>
      </w:r>
      <w:bookmarkEnd w:id="14"/>
      <w:bookmarkEnd w:id="15"/>
      <w:bookmarkEnd w:id="16"/>
    </w:p>
    <w:tbl>
      <w:tblPr>
        <w:tblW w:w="0" w:type="auto"/>
        <w:tblLook w:val="04A0"/>
      </w:tblPr>
      <w:tblGrid>
        <w:gridCol w:w="1443"/>
        <w:gridCol w:w="4749"/>
        <w:gridCol w:w="3051"/>
      </w:tblGrid>
      <w:tr w:rsidR="0042471A" w:rsidRPr="000E7FA3" w:rsidTr="0042471A">
        <w:tc>
          <w:tcPr>
            <w:tcW w:w="959" w:type="dxa"/>
          </w:tcPr>
          <w:p w:rsidR="0042471A" w:rsidRDefault="00EA692E" w:rsidP="009779A0">
            <w:proofErr w:type="spellStart"/>
            <w:r>
              <w:t>Prime</w:t>
            </w:r>
            <w:r w:rsidR="009779A0" w:rsidRPr="009779A0">
              <w:t>ATBD</w:t>
            </w:r>
            <w:proofErr w:type="spellEnd"/>
          </w:p>
          <w:p w:rsidR="009779A0" w:rsidRPr="000E7FA3" w:rsidRDefault="009779A0" w:rsidP="009779A0"/>
        </w:tc>
        <w:tc>
          <w:tcPr>
            <w:tcW w:w="5203" w:type="dxa"/>
          </w:tcPr>
          <w:p w:rsidR="0042471A" w:rsidRPr="000E7FA3" w:rsidRDefault="009779A0" w:rsidP="00EA692E">
            <w:r w:rsidRPr="009779A0">
              <w:t>“</w:t>
            </w:r>
            <w:r w:rsidR="00EA692E" w:rsidRPr="00EA692E">
              <w:t>ATBD for EUMETSAT Demonstration Prime GSICS Corrections for Meteosat-SEVIRI</w:t>
            </w:r>
            <w:r w:rsidRPr="009779A0">
              <w:t>”</w:t>
            </w:r>
          </w:p>
        </w:tc>
        <w:tc>
          <w:tcPr>
            <w:tcW w:w="3081" w:type="dxa"/>
          </w:tcPr>
          <w:p w:rsidR="0042471A" w:rsidRPr="000E7FA3" w:rsidRDefault="00EA692E" w:rsidP="009779A0">
            <w:r w:rsidRPr="00EA692E">
              <w:t>EUM/RSP/TEN/14/777892</w:t>
            </w:r>
            <w:r w:rsidR="009779A0">
              <w:br/>
            </w:r>
            <w:hyperlink r:id="rId15" w:history="1">
              <w:r w:rsidR="009779A0" w:rsidRPr="009779A0">
                <w:rPr>
                  <w:rStyle w:val="Hyperlink"/>
                </w:rPr>
                <w:t>Available online</w:t>
              </w:r>
            </w:hyperlink>
          </w:p>
        </w:tc>
      </w:tr>
      <w:tr w:rsidR="0042471A" w:rsidRPr="000E7FA3" w:rsidTr="0042471A">
        <w:tc>
          <w:tcPr>
            <w:tcW w:w="959" w:type="dxa"/>
          </w:tcPr>
          <w:p w:rsidR="0042471A" w:rsidRPr="000E7FA3" w:rsidRDefault="009779A0" w:rsidP="009779A0">
            <w:r>
              <w:t>Hewison, 2013</w:t>
            </w:r>
          </w:p>
        </w:tc>
        <w:tc>
          <w:tcPr>
            <w:tcW w:w="5203" w:type="dxa"/>
          </w:tcPr>
          <w:p w:rsidR="0042471A" w:rsidRPr="000E7FA3" w:rsidRDefault="009779A0" w:rsidP="00EA692E">
            <w:r>
              <w:t>“</w:t>
            </w:r>
            <w:r w:rsidR="00EA692E" w:rsidRPr="00EA692E">
              <w:t xml:space="preserve">Prime GSICS Corrections, using double-differences of IASI-A and -B against the </w:t>
            </w:r>
            <w:r w:rsidR="00EA692E">
              <w:t>IR channels of Meteosat/SEVIRI”</w:t>
            </w:r>
          </w:p>
        </w:tc>
        <w:tc>
          <w:tcPr>
            <w:tcW w:w="3081" w:type="dxa"/>
          </w:tcPr>
          <w:p w:rsidR="0042471A" w:rsidRPr="000E7FA3" w:rsidRDefault="00EA692E" w:rsidP="00EA692E">
            <w:r>
              <w:t xml:space="preserve">Poster presented at IASI Conference, Saint Juan-Les-Pins, France, </w:t>
            </w:r>
            <w:proofErr w:type="gramStart"/>
            <w:r>
              <w:t>April</w:t>
            </w:r>
            <w:proofErr w:type="gramEnd"/>
            <w:r>
              <w:t xml:space="preserve"> 2016.</w:t>
            </w:r>
          </w:p>
        </w:tc>
      </w:tr>
    </w:tbl>
    <w:p w:rsidR="0042471A" w:rsidRDefault="004C1A8F" w:rsidP="00EA692E">
      <w:pPr>
        <w:pStyle w:val="Heading2"/>
        <w:numPr>
          <w:ilvl w:val="0"/>
          <w:numId w:val="0"/>
        </w:numPr>
        <w:spacing w:after="0"/>
        <w:ind w:left="851"/>
        <w:jc w:val="left"/>
      </w:pPr>
      <w:bookmarkStart w:id="17" w:name="_Toc437597341"/>
      <w:bookmarkStart w:id="18" w:name="_Toc311036663"/>
      <w:bookmarkEnd w:id="13"/>
      <w:r>
        <w:br w:type="page"/>
      </w:r>
      <w:bookmarkEnd w:id="17"/>
      <w:bookmarkEnd w:id="18"/>
    </w:p>
    <w:p w:rsidR="00164DAD" w:rsidRDefault="00164DAD" w:rsidP="00164DAD">
      <w:pPr>
        <w:pStyle w:val="Heading1"/>
      </w:pPr>
      <w:bookmarkStart w:id="19" w:name="_Toc305500672"/>
      <w:bookmarkStart w:id="20" w:name="_Toc305500673"/>
      <w:bookmarkStart w:id="21" w:name="_Toc305500675"/>
      <w:bookmarkStart w:id="22" w:name="_Toc305500676"/>
      <w:bookmarkStart w:id="23" w:name="_Toc437597346"/>
      <w:bookmarkStart w:id="24" w:name="_Toc460253930"/>
      <w:bookmarkEnd w:id="19"/>
      <w:bookmarkEnd w:id="20"/>
      <w:bookmarkEnd w:id="21"/>
      <w:bookmarkEnd w:id="22"/>
      <w:r>
        <w:lastRenderedPageBreak/>
        <w:t xml:space="preserve">Reliability of </w:t>
      </w:r>
      <w:r w:rsidRPr="00164DAD">
        <w:t xml:space="preserve">product’s generation and distribution </w:t>
      </w:r>
    </w:p>
    <w:p w:rsidR="00164DAD" w:rsidRDefault="00164DAD" w:rsidP="00164DAD"/>
    <w:p w:rsidR="00164DAD" w:rsidRDefault="00164DAD" w:rsidP="00164DAD">
      <w:r>
        <w:t>As a candidate demonstration GSICS product, EUMETSAT’s Prime GSICS Corrections for the infrared channels of the Meteosat/SEVIRI imagers are not yet implemented on an operational processing chain. Instead they are routinely generated from automated scripts running in the offline development environment.</w:t>
      </w:r>
    </w:p>
    <w:p w:rsidR="00164DAD" w:rsidRDefault="00164DAD" w:rsidP="00164DAD"/>
    <w:p w:rsidR="00164DAD" w:rsidRDefault="00164DAD" w:rsidP="00164DAD">
      <w:r>
        <w:t xml:space="preserve">The demonstration products are distributed via EUMETSAT’s </w:t>
      </w:r>
      <w:r w:rsidR="00167767">
        <w:t xml:space="preserve">operational </w:t>
      </w:r>
      <w:r>
        <w:t>GSICS Data and Products Server (</w:t>
      </w:r>
      <w:hyperlink r:id="rId16" w:history="1">
        <w:r w:rsidRPr="009C6157">
          <w:rPr>
            <w:rStyle w:val="Hyperlink"/>
          </w:rPr>
          <w:t>http://gsics.eumetsat.int</w:t>
        </w:r>
      </w:hyperlink>
      <w:r>
        <w:t xml:space="preserve">), labelled as Demonstration Products under the following folders: </w:t>
      </w:r>
    </w:p>
    <w:tbl>
      <w:tblPr>
        <w:tblW w:w="5000" w:type="pct"/>
        <w:jc w:val="center"/>
        <w:tblCellSpacing w:w="0" w:type="dxa"/>
        <w:tblCellMar>
          <w:top w:w="75" w:type="dxa"/>
          <w:left w:w="75" w:type="dxa"/>
          <w:bottom w:w="75" w:type="dxa"/>
          <w:right w:w="75" w:type="dxa"/>
        </w:tblCellMar>
        <w:tblLook w:val="04A0"/>
      </w:tblPr>
      <w:tblGrid>
        <w:gridCol w:w="8471"/>
        <w:gridCol w:w="268"/>
        <w:gridCol w:w="438"/>
      </w:tblGrid>
      <w:tr w:rsidR="00164DAD" w:rsidTr="00164DAD">
        <w:trPr>
          <w:gridAfter w:val="2"/>
          <w:tblCellSpacing w:w="0" w:type="dxa"/>
          <w:jc w:val="center"/>
        </w:trPr>
        <w:tc>
          <w:tcPr>
            <w:tcW w:w="0" w:type="auto"/>
            <w:vAlign w:val="center"/>
            <w:hideMark/>
          </w:tcPr>
          <w:p w:rsidR="00164DAD" w:rsidRDefault="00164DAD">
            <w:pPr>
              <w:rPr>
                <w:rFonts w:ascii="Segoe UI" w:hAnsi="Segoe UI" w:cs="Segoe UI"/>
                <w:color w:val="000000"/>
                <w:sz w:val="27"/>
                <w:szCs w:val="27"/>
              </w:rPr>
            </w:pPr>
          </w:p>
        </w:tc>
      </w:tr>
      <w:tr w:rsidR="00164DAD" w:rsidTr="00164DAD">
        <w:trPr>
          <w:tblCellSpacing w:w="0" w:type="dxa"/>
          <w:jc w:val="center"/>
        </w:trPr>
        <w:tc>
          <w:tcPr>
            <w:tcW w:w="0" w:type="auto"/>
            <w:vAlign w:val="center"/>
            <w:hideMark/>
          </w:tcPr>
          <w:p w:rsidR="00164DAD" w:rsidRDefault="00164DAD">
            <w:pPr>
              <w:rPr>
                <w:rFonts w:ascii="Segoe UI" w:hAnsi="Segoe UI" w:cs="Segoe UI"/>
                <w:color w:val="000000"/>
                <w:sz w:val="27"/>
                <w:szCs w:val="27"/>
              </w:rPr>
            </w:pPr>
            <w:r>
              <w:rPr>
                <w:rFonts w:ascii="Segoe UI" w:hAnsi="Segoe UI" w:cs="Segoe UI"/>
                <w:color w:val="000000"/>
                <w:sz w:val="27"/>
                <w:szCs w:val="27"/>
              </w:rPr>
              <w:t>            </w:t>
            </w:r>
            <w:r>
              <w:rPr>
                <w:rStyle w:val="apple-converted-space"/>
                <w:rFonts w:ascii="Segoe UI" w:hAnsi="Segoe UI" w:cs="Segoe UI"/>
                <w:color w:val="000000"/>
                <w:sz w:val="27"/>
                <w:szCs w:val="27"/>
              </w:rPr>
              <w:t> </w:t>
            </w:r>
            <w:r>
              <w:rPr>
                <w:rFonts w:ascii="Segoe UI" w:hAnsi="Segoe UI" w:cs="Segoe UI"/>
                <w:noProof/>
                <w:color w:val="000000"/>
                <w:sz w:val="27"/>
                <w:szCs w:val="27"/>
              </w:rPr>
              <w:drawing>
                <wp:inline distT="0" distB="0" distL="0" distR="0">
                  <wp:extent cx="191135" cy="158750"/>
                  <wp:effectExtent l="19050" t="0" r="0" b="0"/>
                  <wp:docPr id="6" name="Picture 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17" cstate="print"/>
                          <a:srcRect/>
                          <a:stretch>
                            <a:fillRect/>
                          </a:stretch>
                        </pic:blipFill>
                        <pic:spPr bwMode="auto">
                          <a:xfrm>
                            <a:off x="0" y="0"/>
                            <a:ext cx="191135" cy="158750"/>
                          </a:xfrm>
                          <a:prstGeom prst="rect">
                            <a:avLst/>
                          </a:prstGeom>
                          <a:noFill/>
                          <a:ln w="9525">
                            <a:noFill/>
                            <a:miter lim="800000"/>
                            <a:headEnd/>
                            <a:tailEnd/>
                          </a:ln>
                        </pic:spPr>
                      </pic:pic>
                    </a:graphicData>
                  </a:graphic>
                </wp:inline>
              </w:drawing>
            </w:r>
            <w:r>
              <w:rPr>
                <w:rStyle w:val="apple-converted-space"/>
                <w:rFonts w:ascii="Segoe UI" w:hAnsi="Segoe UI" w:cs="Segoe UI"/>
                <w:color w:val="000000"/>
                <w:sz w:val="27"/>
                <w:szCs w:val="27"/>
              </w:rPr>
              <w:t> </w:t>
            </w:r>
            <w:r>
              <w:rPr>
                <w:rFonts w:ascii="Segoe UI" w:hAnsi="Segoe UI" w:cs="Segoe UI"/>
                <w:color w:val="000000"/>
                <w:sz w:val="27"/>
                <w:szCs w:val="27"/>
              </w:rPr>
              <w:t> </w:t>
            </w:r>
            <w:hyperlink r:id="rId18" w:history="1">
              <w:r>
                <w:rPr>
                  <w:rStyle w:val="HTMLTypewriter"/>
                  <w:rFonts w:ascii="Segoe UI" w:hAnsi="Segoe UI" w:cs="Segoe UI"/>
                  <w:color w:val="000000"/>
                  <w:sz w:val="27"/>
                  <w:szCs w:val="27"/>
                  <w:u w:val="single"/>
                </w:rPr>
                <w:t>MSG1 SEVIRI PRIME CALIBRATION PRODUCT/</w:t>
              </w:r>
            </w:hyperlink>
          </w:p>
        </w:tc>
        <w:tc>
          <w:tcPr>
            <w:tcW w:w="0" w:type="auto"/>
            <w:vAlign w:val="center"/>
            <w:hideMark/>
          </w:tcPr>
          <w:p w:rsidR="00164DAD" w:rsidRDefault="00164DAD">
            <w:pPr>
              <w:jc w:val="right"/>
              <w:rPr>
                <w:rFonts w:ascii="Segoe UI" w:hAnsi="Segoe UI" w:cs="Segoe UI"/>
                <w:color w:val="000000"/>
                <w:sz w:val="27"/>
                <w:szCs w:val="27"/>
              </w:rPr>
            </w:pPr>
            <w:r>
              <w:rPr>
                <w:rStyle w:val="HTMLTypewriter"/>
                <w:rFonts w:ascii="Segoe UI" w:hAnsi="Segoe UI" w:cs="Segoe UI"/>
                <w:color w:val="000000"/>
                <w:sz w:val="27"/>
                <w:szCs w:val="27"/>
              </w:rPr>
              <w:t> </w:t>
            </w:r>
          </w:p>
        </w:tc>
        <w:tc>
          <w:tcPr>
            <w:tcW w:w="0" w:type="auto"/>
            <w:vAlign w:val="center"/>
            <w:hideMark/>
          </w:tcPr>
          <w:p w:rsidR="00164DAD" w:rsidRDefault="00164DAD">
            <w:pPr>
              <w:jc w:val="right"/>
              <w:rPr>
                <w:rFonts w:ascii="Segoe UI" w:hAnsi="Segoe UI" w:cs="Segoe UI"/>
                <w:color w:val="000000"/>
                <w:sz w:val="27"/>
                <w:szCs w:val="27"/>
              </w:rPr>
            </w:pPr>
            <w:r>
              <w:rPr>
                <w:rStyle w:val="HTMLTypewriter"/>
                <w:rFonts w:ascii="Segoe UI" w:hAnsi="Segoe UI" w:cs="Segoe UI"/>
                <w:color w:val="000000"/>
                <w:sz w:val="27"/>
                <w:szCs w:val="27"/>
              </w:rPr>
              <w:t>--</w:t>
            </w:r>
          </w:p>
        </w:tc>
      </w:tr>
      <w:tr w:rsidR="00164DAD" w:rsidTr="00164DAD">
        <w:trPr>
          <w:tblCellSpacing w:w="0" w:type="dxa"/>
          <w:jc w:val="center"/>
        </w:trPr>
        <w:tc>
          <w:tcPr>
            <w:tcW w:w="0" w:type="auto"/>
            <w:shd w:val="clear" w:color="auto" w:fill="EEEEEE"/>
            <w:vAlign w:val="center"/>
            <w:hideMark/>
          </w:tcPr>
          <w:p w:rsidR="00164DAD" w:rsidRDefault="00164DAD">
            <w:pPr>
              <w:rPr>
                <w:rFonts w:ascii="Segoe UI" w:hAnsi="Segoe UI" w:cs="Segoe UI"/>
                <w:color w:val="000000"/>
                <w:sz w:val="27"/>
                <w:szCs w:val="27"/>
              </w:rPr>
            </w:pPr>
            <w:r>
              <w:rPr>
                <w:rFonts w:ascii="Segoe UI" w:hAnsi="Segoe UI" w:cs="Segoe UI"/>
                <w:color w:val="000000"/>
                <w:sz w:val="27"/>
                <w:szCs w:val="27"/>
              </w:rPr>
              <w:t>            </w:t>
            </w:r>
            <w:r>
              <w:rPr>
                <w:rStyle w:val="apple-converted-space"/>
                <w:rFonts w:ascii="Segoe UI" w:hAnsi="Segoe UI" w:cs="Segoe UI"/>
                <w:color w:val="000000"/>
                <w:sz w:val="27"/>
                <w:szCs w:val="27"/>
              </w:rPr>
              <w:t> </w:t>
            </w:r>
            <w:r>
              <w:rPr>
                <w:rFonts w:ascii="Segoe UI" w:hAnsi="Segoe UI" w:cs="Segoe UI"/>
                <w:noProof/>
                <w:color w:val="000000"/>
                <w:sz w:val="27"/>
                <w:szCs w:val="27"/>
              </w:rPr>
              <w:drawing>
                <wp:inline distT="0" distB="0" distL="0" distR="0">
                  <wp:extent cx="191135" cy="158750"/>
                  <wp:effectExtent l="19050" t="0" r="0" b="0"/>
                  <wp:docPr id="4" name="Picture 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er"/>
                          <pic:cNvPicPr>
                            <a:picLocks noChangeAspect="1" noChangeArrowheads="1"/>
                          </pic:cNvPicPr>
                        </pic:nvPicPr>
                        <pic:blipFill>
                          <a:blip r:embed="rId17" cstate="print"/>
                          <a:srcRect/>
                          <a:stretch>
                            <a:fillRect/>
                          </a:stretch>
                        </pic:blipFill>
                        <pic:spPr bwMode="auto">
                          <a:xfrm>
                            <a:off x="0" y="0"/>
                            <a:ext cx="191135" cy="158750"/>
                          </a:xfrm>
                          <a:prstGeom prst="rect">
                            <a:avLst/>
                          </a:prstGeom>
                          <a:noFill/>
                          <a:ln w="9525">
                            <a:noFill/>
                            <a:miter lim="800000"/>
                            <a:headEnd/>
                            <a:tailEnd/>
                          </a:ln>
                        </pic:spPr>
                      </pic:pic>
                    </a:graphicData>
                  </a:graphic>
                </wp:inline>
              </w:drawing>
            </w:r>
            <w:r>
              <w:rPr>
                <w:rStyle w:val="apple-converted-space"/>
                <w:rFonts w:ascii="Segoe UI" w:hAnsi="Segoe UI" w:cs="Segoe UI"/>
                <w:color w:val="000000"/>
                <w:sz w:val="27"/>
                <w:szCs w:val="27"/>
              </w:rPr>
              <w:t> </w:t>
            </w:r>
            <w:r>
              <w:rPr>
                <w:rFonts w:ascii="Segoe UI" w:hAnsi="Segoe UI" w:cs="Segoe UI"/>
                <w:color w:val="000000"/>
                <w:sz w:val="27"/>
                <w:szCs w:val="27"/>
              </w:rPr>
              <w:t> </w:t>
            </w:r>
            <w:hyperlink r:id="rId19" w:history="1">
              <w:r>
                <w:rPr>
                  <w:rStyle w:val="HTMLTypewriter"/>
                  <w:rFonts w:ascii="Segoe UI" w:hAnsi="Segoe UI" w:cs="Segoe UI"/>
                  <w:color w:val="000000"/>
                  <w:sz w:val="27"/>
                  <w:szCs w:val="27"/>
                  <w:u w:val="single"/>
                </w:rPr>
                <w:t>MSG2 SEVIRI PRIME CALIBRATION PRODUCT/</w:t>
              </w:r>
            </w:hyperlink>
          </w:p>
        </w:tc>
        <w:tc>
          <w:tcPr>
            <w:tcW w:w="0" w:type="auto"/>
            <w:shd w:val="clear" w:color="auto" w:fill="EEEEEE"/>
            <w:vAlign w:val="center"/>
            <w:hideMark/>
          </w:tcPr>
          <w:p w:rsidR="00164DAD" w:rsidRDefault="00164DAD">
            <w:pPr>
              <w:jc w:val="right"/>
              <w:rPr>
                <w:rFonts w:ascii="Segoe UI" w:hAnsi="Segoe UI" w:cs="Segoe UI"/>
                <w:color w:val="000000"/>
                <w:sz w:val="27"/>
                <w:szCs w:val="27"/>
              </w:rPr>
            </w:pPr>
            <w:r>
              <w:rPr>
                <w:rStyle w:val="HTMLTypewriter"/>
                <w:rFonts w:ascii="Segoe UI" w:hAnsi="Segoe UI" w:cs="Segoe UI"/>
                <w:color w:val="000000"/>
                <w:sz w:val="27"/>
                <w:szCs w:val="27"/>
              </w:rPr>
              <w:t> </w:t>
            </w:r>
          </w:p>
        </w:tc>
        <w:tc>
          <w:tcPr>
            <w:tcW w:w="0" w:type="auto"/>
            <w:shd w:val="clear" w:color="auto" w:fill="EEEEEE"/>
            <w:vAlign w:val="center"/>
            <w:hideMark/>
          </w:tcPr>
          <w:p w:rsidR="00164DAD" w:rsidRDefault="00164DAD">
            <w:pPr>
              <w:jc w:val="right"/>
              <w:rPr>
                <w:rFonts w:ascii="Segoe UI" w:hAnsi="Segoe UI" w:cs="Segoe UI"/>
                <w:color w:val="000000"/>
                <w:sz w:val="27"/>
                <w:szCs w:val="27"/>
              </w:rPr>
            </w:pPr>
            <w:r>
              <w:rPr>
                <w:rStyle w:val="HTMLTypewriter"/>
                <w:rFonts w:ascii="Segoe UI" w:hAnsi="Segoe UI" w:cs="Segoe UI"/>
                <w:color w:val="000000"/>
                <w:sz w:val="27"/>
                <w:szCs w:val="27"/>
              </w:rPr>
              <w:t>--</w:t>
            </w:r>
          </w:p>
        </w:tc>
      </w:tr>
      <w:tr w:rsidR="00164DAD" w:rsidTr="00164DAD">
        <w:trPr>
          <w:tblCellSpacing w:w="0" w:type="dxa"/>
          <w:jc w:val="center"/>
        </w:trPr>
        <w:tc>
          <w:tcPr>
            <w:tcW w:w="0" w:type="auto"/>
            <w:vAlign w:val="center"/>
            <w:hideMark/>
          </w:tcPr>
          <w:p w:rsidR="00164DAD" w:rsidRDefault="00164DAD">
            <w:pPr>
              <w:rPr>
                <w:rFonts w:ascii="Segoe UI" w:hAnsi="Segoe UI" w:cs="Segoe UI"/>
                <w:color w:val="000000"/>
                <w:sz w:val="27"/>
                <w:szCs w:val="27"/>
              </w:rPr>
            </w:pPr>
            <w:r>
              <w:rPr>
                <w:rFonts w:ascii="Segoe UI" w:hAnsi="Segoe UI" w:cs="Segoe UI"/>
                <w:color w:val="000000"/>
                <w:sz w:val="27"/>
                <w:szCs w:val="27"/>
              </w:rPr>
              <w:t>            </w:t>
            </w:r>
            <w:r>
              <w:rPr>
                <w:rStyle w:val="apple-converted-space"/>
                <w:rFonts w:ascii="Segoe UI" w:hAnsi="Segoe UI" w:cs="Segoe UI"/>
                <w:color w:val="000000"/>
                <w:sz w:val="27"/>
                <w:szCs w:val="27"/>
              </w:rPr>
              <w:t> </w:t>
            </w:r>
            <w:r>
              <w:rPr>
                <w:rFonts w:ascii="Segoe UI" w:hAnsi="Segoe UI" w:cs="Segoe UI"/>
                <w:noProof/>
                <w:color w:val="000000"/>
                <w:sz w:val="27"/>
                <w:szCs w:val="27"/>
              </w:rPr>
              <w:drawing>
                <wp:inline distT="0" distB="0" distL="0" distR="0">
                  <wp:extent cx="191135" cy="158750"/>
                  <wp:effectExtent l="19050" t="0" r="0" b="0"/>
                  <wp:docPr id="1" name="Picture 3"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pic:cNvPicPr>
                            <a:picLocks noChangeAspect="1" noChangeArrowheads="1"/>
                          </pic:cNvPicPr>
                        </pic:nvPicPr>
                        <pic:blipFill>
                          <a:blip r:embed="rId17" cstate="print"/>
                          <a:srcRect/>
                          <a:stretch>
                            <a:fillRect/>
                          </a:stretch>
                        </pic:blipFill>
                        <pic:spPr bwMode="auto">
                          <a:xfrm>
                            <a:off x="0" y="0"/>
                            <a:ext cx="191135" cy="158750"/>
                          </a:xfrm>
                          <a:prstGeom prst="rect">
                            <a:avLst/>
                          </a:prstGeom>
                          <a:noFill/>
                          <a:ln w="9525">
                            <a:noFill/>
                            <a:miter lim="800000"/>
                            <a:headEnd/>
                            <a:tailEnd/>
                          </a:ln>
                        </pic:spPr>
                      </pic:pic>
                    </a:graphicData>
                  </a:graphic>
                </wp:inline>
              </w:drawing>
            </w:r>
            <w:r>
              <w:rPr>
                <w:rStyle w:val="apple-converted-space"/>
                <w:rFonts w:ascii="Segoe UI" w:hAnsi="Segoe UI" w:cs="Segoe UI"/>
                <w:color w:val="000000"/>
                <w:sz w:val="27"/>
                <w:szCs w:val="27"/>
              </w:rPr>
              <w:t> </w:t>
            </w:r>
            <w:r>
              <w:rPr>
                <w:rFonts w:ascii="Segoe UI" w:hAnsi="Segoe UI" w:cs="Segoe UI"/>
                <w:color w:val="000000"/>
                <w:sz w:val="27"/>
                <w:szCs w:val="27"/>
              </w:rPr>
              <w:t> </w:t>
            </w:r>
            <w:hyperlink r:id="rId20" w:history="1">
              <w:r>
                <w:rPr>
                  <w:rStyle w:val="HTMLTypewriter"/>
                  <w:rFonts w:ascii="Segoe UI" w:hAnsi="Segoe UI" w:cs="Segoe UI"/>
                  <w:color w:val="000000"/>
                  <w:sz w:val="27"/>
                  <w:szCs w:val="27"/>
                  <w:u w:val="single"/>
                </w:rPr>
                <w:t>MSG3 SEVIRI PRIME CALIBRATION PRODUCT/</w:t>
              </w:r>
            </w:hyperlink>
          </w:p>
        </w:tc>
        <w:tc>
          <w:tcPr>
            <w:tcW w:w="0" w:type="auto"/>
            <w:vAlign w:val="center"/>
            <w:hideMark/>
          </w:tcPr>
          <w:p w:rsidR="00164DAD" w:rsidRDefault="00164DAD">
            <w:pPr>
              <w:rPr>
                <w:sz w:val="20"/>
              </w:rPr>
            </w:pPr>
          </w:p>
        </w:tc>
        <w:tc>
          <w:tcPr>
            <w:tcW w:w="0" w:type="auto"/>
            <w:vAlign w:val="center"/>
            <w:hideMark/>
          </w:tcPr>
          <w:p w:rsidR="00164DAD" w:rsidRDefault="00164DAD">
            <w:pPr>
              <w:rPr>
                <w:sz w:val="20"/>
              </w:rPr>
            </w:pPr>
          </w:p>
        </w:tc>
      </w:tr>
    </w:tbl>
    <w:p w:rsidR="00164DAD" w:rsidRDefault="00164DAD" w:rsidP="00164DAD">
      <w:r>
        <w:t xml:space="preserve"> </w:t>
      </w:r>
    </w:p>
    <w:p w:rsidR="00167767" w:rsidRDefault="00164DAD" w:rsidP="00164DAD">
      <w:r>
        <w:t>As a demonstration product, the generation of the Prime GSICS Corrections is supported on a best efforts basis</w:t>
      </w:r>
      <w:r w:rsidR="00167767">
        <w:t xml:space="preserve">. However, it is nominally updated on a daily basis – but currently only in the Re-Analysis Correction, it is not believed to be of interest to near-real-time users, but focuses primarily on the generation of Fundamental Climate Data Records. As such, it is also not currently suitable for inclusion as alternative calibration coefficients in the L1.5 header, in the way currently provided from the traditional GSICS inter-calibration products derived from individual reference instruments. </w:t>
      </w:r>
    </w:p>
    <w:p w:rsidR="00167767" w:rsidRDefault="00167767" w:rsidP="00164DAD"/>
    <w:p w:rsidR="00164DAD" w:rsidRDefault="00167767" w:rsidP="00164DAD">
      <w:r>
        <w:t>It is expected that this will be a sufficient rich and robust service to allow interested beta testers to evaluate the product and provide essential feedback needed for its further development and promotion towards operational implementations.</w:t>
      </w:r>
    </w:p>
    <w:p w:rsidR="00167767" w:rsidRDefault="00167767" w:rsidP="00164DAD"/>
    <w:p w:rsidR="0042471A" w:rsidRDefault="003E23C5" w:rsidP="00164DAD">
      <w:pPr>
        <w:pStyle w:val="Heading1"/>
      </w:pPr>
      <w:r w:rsidRPr="003E23C5">
        <w:lastRenderedPageBreak/>
        <w:t>IASI-A/B Double Difference Analysis</w:t>
      </w:r>
      <w:bookmarkEnd w:id="23"/>
      <w:bookmarkEnd w:id="24"/>
    </w:p>
    <w:p w:rsidR="0042471A" w:rsidRDefault="0042471A" w:rsidP="0042471A"/>
    <w:p w:rsidR="003E23C5" w:rsidRDefault="00E85D96" w:rsidP="0042471A">
      <w:r>
        <w:fldChar w:fldCharType="begin"/>
      </w:r>
      <w:r w:rsidR="0042471A">
        <w:instrText xml:space="preserve"> REF _Ref404676435 \h </w:instrText>
      </w:r>
      <w:r>
        <w:fldChar w:fldCharType="separate"/>
      </w:r>
      <w:r w:rsidR="00EA692E" w:rsidRPr="002624B3">
        <w:t xml:space="preserve">Figure </w:t>
      </w:r>
      <w:r w:rsidR="00EA692E">
        <w:rPr>
          <w:noProof/>
        </w:rPr>
        <w:t>1</w:t>
      </w:r>
      <w:r>
        <w:fldChar w:fldCharType="end"/>
      </w:r>
      <w:r w:rsidR="0042471A">
        <w:t xml:space="preserve"> shows the biases calculated from the </w:t>
      </w:r>
      <w:r w:rsidR="003E23C5">
        <w:t xml:space="preserve">IR13.4 channel of Meteosat-10/SEVIRI using the </w:t>
      </w:r>
      <w:r w:rsidR="0042471A">
        <w:t xml:space="preserve">GSICS </w:t>
      </w:r>
      <w:r w:rsidR="003E23C5">
        <w:t xml:space="preserve">Re-Analysis </w:t>
      </w:r>
      <w:r w:rsidR="0042471A">
        <w:t>Corrections from the two references (Metop-A/IASI and Metop-B/IASI)</w:t>
      </w:r>
      <w:r w:rsidR="003E23C5">
        <w:t xml:space="preserve">. The results </w:t>
      </w:r>
      <w:r w:rsidR="0042471A">
        <w:t>are almost indistinguishable on this scale.</w:t>
      </w:r>
    </w:p>
    <w:p w:rsidR="003E23C5" w:rsidRDefault="003E23C5" w:rsidP="0042471A"/>
    <w:p w:rsidR="0042471A" w:rsidRDefault="0042471A" w:rsidP="0042471A"/>
    <w:p w:rsidR="0042471A" w:rsidRDefault="00DD75B4" w:rsidP="0042471A">
      <w:pPr>
        <w:keepNext/>
        <w:jc w:val="center"/>
      </w:pPr>
      <w:r w:rsidRPr="00DD75B4">
        <w:rPr>
          <w:noProof/>
        </w:rPr>
        <w:drawing>
          <wp:inline distT="0" distB="0" distL="0" distR="0">
            <wp:extent cx="4938713" cy="3126337"/>
            <wp:effectExtent l="19050" t="0" r="0" b="0"/>
            <wp:docPr id="2" name="Picture 1" descr="https://lh4.googleusercontent.com/K8f2BKsNGdANStaabDYlI1D33uiatMIss21NyzuLphTwRhXTo1_-jntpwk0GReRxpgYQ6e2XevUrLhjqvlz3P4gEaAyUCHk3yl-xGiL_sXIBuhZQK9b7H51G2RE56WQLu430bcTs"/>
            <wp:cNvGraphicFramePr/>
            <a:graphic xmlns:a="http://schemas.openxmlformats.org/drawingml/2006/main">
              <a:graphicData uri="http://schemas.openxmlformats.org/drawingml/2006/picture">
                <pic:pic xmlns:pic="http://schemas.openxmlformats.org/drawingml/2006/picture">
                  <pic:nvPicPr>
                    <pic:cNvPr id="171" name="Picture 2" descr="https://lh4.googleusercontent.com/K8f2BKsNGdANStaabDYlI1D33uiatMIss21NyzuLphTwRhXTo1_-jntpwk0GReRxpgYQ6e2XevUrLhjqvlz3P4gEaAyUCHk3yl-xGiL_sXIBuhZQK9b7H51G2RE56WQLu430bcTs"/>
                    <pic:cNvPicPr>
                      <a:picLocks noChangeAspect="1" noChangeArrowheads="1"/>
                    </pic:cNvPicPr>
                  </pic:nvPicPr>
                  <pic:blipFill>
                    <a:blip r:embed="rId21" cstate="print"/>
                    <a:srcRect t="6355"/>
                    <a:stretch>
                      <a:fillRect/>
                    </a:stretch>
                  </pic:blipFill>
                  <pic:spPr bwMode="auto">
                    <a:xfrm>
                      <a:off x="0" y="0"/>
                      <a:ext cx="4938713" cy="3126337"/>
                    </a:xfrm>
                    <a:prstGeom prst="rect">
                      <a:avLst/>
                    </a:prstGeom>
                    <a:noFill/>
                  </pic:spPr>
                </pic:pic>
              </a:graphicData>
            </a:graphic>
          </wp:inline>
        </w:drawing>
      </w:r>
    </w:p>
    <w:p w:rsidR="0042471A" w:rsidRPr="002624B3" w:rsidRDefault="0042471A" w:rsidP="0042471A">
      <w:pPr>
        <w:pStyle w:val="Caption"/>
      </w:pPr>
      <w:bookmarkStart w:id="25" w:name="_Ref404676435"/>
      <w:bookmarkStart w:id="26" w:name="_Toc460253932"/>
      <w:r w:rsidRPr="002624B3">
        <w:t xml:space="preserve">Figure </w:t>
      </w:r>
      <w:fldSimple w:instr=" SEQ Figure \* ARABIC ">
        <w:r w:rsidR="00EA692E">
          <w:rPr>
            <w:noProof/>
          </w:rPr>
          <w:t>1</w:t>
        </w:r>
      </w:fldSimple>
      <w:bookmarkEnd w:id="25"/>
      <w:r w:rsidRPr="002624B3">
        <w:t xml:space="preserve"> –Time Series of Radiance Biases (in K) calculated for Standard Radiance Scene from GSICS Re-Analysis Corrections for </w:t>
      </w:r>
      <w:r w:rsidR="00DD75B4">
        <w:t xml:space="preserve">IR13.4 channel of </w:t>
      </w:r>
      <w:r w:rsidRPr="002624B3">
        <w:t>Meteosat-10/SEVIRI with respect to Metop-A/IASI (</w:t>
      </w:r>
      <w:r w:rsidR="00DD75B4">
        <w:t>red</w:t>
      </w:r>
      <w:r w:rsidRPr="002624B3">
        <w:t>) and Metop-B/IASI (</w:t>
      </w:r>
      <w:r w:rsidR="00DD75B4">
        <w:t>blue</w:t>
      </w:r>
      <w:r w:rsidRPr="002624B3">
        <w:t>).</w:t>
      </w:r>
      <w:bookmarkEnd w:id="26"/>
    </w:p>
    <w:p w:rsidR="0042471A" w:rsidRDefault="0042471A" w:rsidP="0042471A"/>
    <w:p w:rsidR="00976986" w:rsidRDefault="00E85D96" w:rsidP="00976986">
      <w:r>
        <w:fldChar w:fldCharType="begin"/>
      </w:r>
      <w:r w:rsidR="00976986">
        <w:instrText xml:space="preserve"> REF _Ref404676472 \h </w:instrText>
      </w:r>
      <w:r>
        <w:fldChar w:fldCharType="separate"/>
      </w:r>
      <w:r w:rsidR="00976986" w:rsidRPr="002624B3">
        <w:t xml:space="preserve">Figure </w:t>
      </w:r>
      <w:r w:rsidR="00976986">
        <w:rPr>
          <w:noProof/>
        </w:rPr>
        <w:t>2</w:t>
      </w:r>
      <w:r>
        <w:fldChar w:fldCharType="end"/>
      </w:r>
      <w:r w:rsidR="00976986">
        <w:t xml:space="preserve"> shows the time series of the double difference between the biases calculated from the GSICS Re-Analysis Corrections using Metop-A/IASI and Metop-B/IASI, together with their associated uncertainties (which are very small) for all eight infrared channels of Meteosat-10/SEVIRI. There are no obvious trends over this 3 year period for any of the channels, as </w:t>
      </w:r>
      <w:r w:rsidR="00A265DF">
        <w:t xml:space="preserve">shown </w:t>
      </w:r>
      <w:r w:rsidR="00976986">
        <w:t xml:space="preserve">in </w:t>
      </w:r>
      <w:r>
        <w:fldChar w:fldCharType="begin"/>
      </w:r>
      <w:r w:rsidR="00A265DF">
        <w:instrText xml:space="preserve"> REF _Ref460252920 \h </w:instrText>
      </w:r>
      <w:r>
        <w:fldChar w:fldCharType="separate"/>
      </w:r>
      <w:r w:rsidR="00A265DF">
        <w:t xml:space="preserve">Table </w:t>
      </w:r>
      <w:r w:rsidR="00A265DF">
        <w:rPr>
          <w:noProof/>
        </w:rPr>
        <w:t>1</w:t>
      </w:r>
      <w:r>
        <w:fldChar w:fldCharType="end"/>
      </w:r>
      <w:r w:rsidR="00A265DF">
        <w:t xml:space="preserve"> (</w:t>
      </w:r>
      <w:r w:rsidR="00A265DF" w:rsidRPr="00A265DF">
        <w:t xml:space="preserve">within standard uncertainty </w:t>
      </w:r>
      <w:proofErr w:type="gramStart"/>
      <w:r w:rsidR="00A265DF" w:rsidRPr="00A265DF">
        <w:t>of 10</w:t>
      </w:r>
      <w:r w:rsidR="00A265DF">
        <w:t> </w:t>
      </w:r>
      <w:proofErr w:type="spellStart"/>
      <w:r w:rsidR="00A265DF" w:rsidRPr="00A265DF">
        <w:t>mK</w:t>
      </w:r>
      <w:proofErr w:type="spellEnd"/>
      <w:r w:rsidR="00A265DF" w:rsidRPr="00A265DF">
        <w:t>/yr</w:t>
      </w:r>
      <w:proofErr w:type="gramEnd"/>
      <w:r w:rsidR="00A265DF">
        <w:t xml:space="preserve">). Similar results were also obtained from </w:t>
      </w:r>
      <w:r w:rsidR="00A265DF" w:rsidRPr="00A265DF">
        <w:t xml:space="preserve">other </w:t>
      </w:r>
      <w:proofErr w:type="spellStart"/>
      <w:r w:rsidR="00A265DF" w:rsidRPr="00A265DF">
        <w:t>Meteosats</w:t>
      </w:r>
      <w:proofErr w:type="spellEnd"/>
      <w:r w:rsidR="00A265DF">
        <w:t xml:space="preserve"> (but are not shown here).</w:t>
      </w:r>
    </w:p>
    <w:p w:rsidR="00976986" w:rsidRDefault="00976986" w:rsidP="00976986"/>
    <w:p w:rsidR="00A265DF" w:rsidRDefault="00A15B5F" w:rsidP="00A15B5F">
      <w:pPr>
        <w:pStyle w:val="Caption"/>
        <w:keepNext/>
      </w:pPr>
      <w:bookmarkStart w:id="27" w:name="_Ref460252920"/>
      <w:r>
        <w:t xml:space="preserve">Table </w:t>
      </w:r>
      <w:fldSimple w:instr=" SEQ Table \* ARABIC ">
        <w:r>
          <w:rPr>
            <w:noProof/>
          </w:rPr>
          <w:t>1</w:t>
        </w:r>
      </w:fldSimple>
      <w:bookmarkEnd w:id="27"/>
      <w:r>
        <w:t xml:space="preserve"> – Statistics</w:t>
      </w:r>
      <w:r w:rsidR="00A265DF">
        <w:t xml:space="preserve"> of double difference of standard scene biases between </w:t>
      </w:r>
      <w:r w:rsidR="00A265DF" w:rsidRPr="00A265DF">
        <w:t>(MSG3/SEVIRI-</w:t>
      </w:r>
      <w:proofErr w:type="spellStart"/>
      <w:r w:rsidR="00A265DF" w:rsidRPr="00A265DF">
        <w:t>MetopA</w:t>
      </w:r>
      <w:proofErr w:type="spellEnd"/>
      <w:r w:rsidR="00A265DF" w:rsidRPr="00A265DF">
        <w:t>/IASI)-(MSG3/SEVIRI-</w:t>
      </w:r>
      <w:proofErr w:type="spellStart"/>
      <w:r w:rsidR="00A265DF" w:rsidRPr="00A265DF">
        <w:t>MetopB</w:t>
      </w:r>
      <w:proofErr w:type="spellEnd"/>
      <w:r w:rsidR="00A265DF" w:rsidRPr="00A265DF">
        <w:t>/IASI)</w:t>
      </w:r>
      <w:r w:rsidR="00A265DF">
        <w:t xml:space="preserve"> from GSICS Re-Analysis Correction over period 2013-03/2016-03</w:t>
      </w:r>
      <w:r w:rsidR="00A265DF">
        <w:br/>
      </w:r>
    </w:p>
    <w:tbl>
      <w:tblPr>
        <w:tblStyle w:val="TableGrid"/>
        <w:tblW w:w="0" w:type="auto"/>
        <w:jc w:val="center"/>
        <w:tblLook w:val="04A0"/>
      </w:tblPr>
      <w:tblGrid>
        <w:gridCol w:w="1497"/>
        <w:gridCol w:w="1075"/>
        <w:gridCol w:w="352"/>
        <w:gridCol w:w="983"/>
        <w:gridCol w:w="892"/>
        <w:gridCol w:w="352"/>
        <w:gridCol w:w="1053"/>
      </w:tblGrid>
      <w:tr w:rsidR="00A265DF" w:rsidTr="00A265DF">
        <w:trPr>
          <w:jc w:val="center"/>
        </w:trPr>
        <w:tc>
          <w:tcPr>
            <w:tcW w:w="1497" w:type="dxa"/>
            <w:tcBorders>
              <w:bottom w:val="single" w:sz="4" w:space="0" w:color="auto"/>
            </w:tcBorders>
            <w:vAlign w:val="bottom"/>
          </w:tcPr>
          <w:p w:rsidR="00A15B5F" w:rsidRPr="00A15B5F" w:rsidRDefault="00A15B5F" w:rsidP="00A265DF">
            <w:pPr>
              <w:jc w:val="center"/>
              <w:rPr>
                <w:szCs w:val="24"/>
              </w:rPr>
            </w:pPr>
            <w:r>
              <w:t xml:space="preserve"> </w:t>
            </w:r>
            <w:r w:rsidR="00A265DF" w:rsidRPr="00A15B5F">
              <w:rPr>
                <w:szCs w:val="24"/>
              </w:rPr>
              <w:t>Channel</w:t>
            </w:r>
          </w:p>
        </w:tc>
        <w:tc>
          <w:tcPr>
            <w:tcW w:w="2410" w:type="dxa"/>
            <w:gridSpan w:val="3"/>
            <w:tcBorders>
              <w:bottom w:val="single" w:sz="4" w:space="0" w:color="auto"/>
            </w:tcBorders>
            <w:vAlign w:val="bottom"/>
          </w:tcPr>
          <w:p w:rsidR="00A265DF" w:rsidRPr="00A15B5F" w:rsidRDefault="00A265DF" w:rsidP="00187DF5">
            <w:pPr>
              <w:jc w:val="center"/>
              <w:rPr>
                <w:szCs w:val="24"/>
              </w:rPr>
            </w:pPr>
            <w:r w:rsidRPr="00A15B5F">
              <w:rPr>
                <w:szCs w:val="24"/>
              </w:rPr>
              <w:t>Double Difference Trend [K/yr]</w:t>
            </w:r>
          </w:p>
        </w:tc>
        <w:tc>
          <w:tcPr>
            <w:tcW w:w="2297" w:type="dxa"/>
            <w:gridSpan w:val="3"/>
            <w:tcBorders>
              <w:bottom w:val="single" w:sz="4" w:space="0" w:color="auto"/>
            </w:tcBorders>
            <w:vAlign w:val="bottom"/>
          </w:tcPr>
          <w:p w:rsidR="00A265DF" w:rsidRPr="00A15B5F" w:rsidRDefault="00A265DF" w:rsidP="00187DF5">
            <w:pPr>
              <w:jc w:val="center"/>
              <w:rPr>
                <w:szCs w:val="24"/>
              </w:rPr>
            </w:pPr>
            <w:r w:rsidRPr="00A15B5F">
              <w:rPr>
                <w:szCs w:val="24"/>
              </w:rPr>
              <w:t>Mean Double Difference [K]</w:t>
            </w:r>
          </w:p>
        </w:tc>
      </w:tr>
      <w:tr w:rsidR="00A265DF" w:rsidTr="00A265DF">
        <w:trPr>
          <w:jc w:val="center"/>
        </w:trPr>
        <w:tc>
          <w:tcPr>
            <w:tcW w:w="1497" w:type="dxa"/>
            <w:tcBorders>
              <w:top w:val="single" w:sz="4" w:space="0" w:color="auto"/>
              <w:left w:val="single" w:sz="4" w:space="0" w:color="auto"/>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IR3.9</w:t>
            </w:r>
          </w:p>
        </w:tc>
        <w:tc>
          <w:tcPr>
            <w:tcW w:w="1075" w:type="dxa"/>
            <w:tcBorders>
              <w:top w:val="single" w:sz="4" w:space="0" w:color="auto"/>
              <w:left w:val="single" w:sz="4" w:space="0" w:color="auto"/>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rPr>
              <w:t>-0.016</w:t>
            </w:r>
          </w:p>
        </w:tc>
        <w:tc>
          <w:tcPr>
            <w:tcW w:w="352" w:type="dxa"/>
            <w:tcBorders>
              <w:top w:val="single" w:sz="4" w:space="0" w:color="auto"/>
              <w:left w:val="nil"/>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u w:val="single"/>
              </w:rPr>
              <w:t>+</w:t>
            </w:r>
          </w:p>
        </w:tc>
        <w:tc>
          <w:tcPr>
            <w:tcW w:w="983" w:type="dxa"/>
            <w:tcBorders>
              <w:top w:val="single" w:sz="4" w:space="0" w:color="auto"/>
              <w:left w:val="nil"/>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0.008</w:t>
            </w:r>
          </w:p>
        </w:tc>
        <w:tc>
          <w:tcPr>
            <w:tcW w:w="892" w:type="dxa"/>
            <w:tcBorders>
              <w:top w:val="single" w:sz="4" w:space="0" w:color="auto"/>
              <w:left w:val="single" w:sz="4" w:space="0" w:color="auto"/>
              <w:bottom w:val="nil"/>
              <w:right w:val="nil"/>
            </w:tcBorders>
            <w:vAlign w:val="bottom"/>
          </w:tcPr>
          <w:p w:rsidR="00A15B5F" w:rsidRPr="00A15B5F" w:rsidRDefault="00A265DF" w:rsidP="00187DF5">
            <w:pPr>
              <w:jc w:val="center"/>
              <w:textAlignment w:val="bottom"/>
              <w:rPr>
                <w:color w:val="000000"/>
                <w:kern w:val="24"/>
                <w:szCs w:val="24"/>
              </w:rPr>
            </w:pPr>
            <w:r w:rsidRPr="00A265DF">
              <w:rPr>
                <w:color w:val="000000"/>
                <w:kern w:val="24"/>
                <w:szCs w:val="24"/>
              </w:rPr>
              <w:t>+</w:t>
            </w:r>
            <w:r w:rsidRPr="00A15B5F">
              <w:rPr>
                <w:color w:val="000000"/>
                <w:kern w:val="24"/>
                <w:szCs w:val="24"/>
              </w:rPr>
              <w:t>0.001</w:t>
            </w:r>
          </w:p>
        </w:tc>
        <w:tc>
          <w:tcPr>
            <w:tcW w:w="352" w:type="dxa"/>
            <w:tcBorders>
              <w:top w:val="nil"/>
              <w:left w:val="nil"/>
              <w:bottom w:val="nil"/>
              <w:right w:val="nil"/>
            </w:tcBorders>
            <w:vAlign w:val="bottom"/>
          </w:tcPr>
          <w:p w:rsidR="00A265DF" w:rsidRPr="00A265DF" w:rsidRDefault="00A265DF">
            <w:pPr>
              <w:pStyle w:val="NormalWeb"/>
              <w:spacing w:before="0" w:beforeAutospacing="0" w:after="0" w:afterAutospacing="0"/>
              <w:jc w:val="center"/>
              <w:textAlignment w:val="bottom"/>
              <w:rPr>
                <w:color w:val="000000"/>
                <w:kern w:val="24"/>
              </w:rPr>
            </w:pPr>
            <w:r w:rsidRPr="00A265DF">
              <w:rPr>
                <w:color w:val="000000"/>
                <w:kern w:val="24"/>
              </w:rPr>
              <w:t>+</w:t>
            </w:r>
          </w:p>
        </w:tc>
        <w:tc>
          <w:tcPr>
            <w:tcW w:w="1053" w:type="dxa"/>
            <w:tcBorders>
              <w:top w:val="single" w:sz="4" w:space="0" w:color="auto"/>
              <w:left w:val="nil"/>
              <w:bottom w:val="nil"/>
              <w:right w:val="single" w:sz="4" w:space="0" w:color="auto"/>
            </w:tcBorders>
            <w:vAlign w:val="bottom"/>
          </w:tcPr>
          <w:p w:rsidR="00A265DF" w:rsidRPr="00A265DF" w:rsidRDefault="00A265DF">
            <w:pPr>
              <w:pStyle w:val="NormalWeb"/>
              <w:spacing w:before="0" w:beforeAutospacing="0" w:after="0" w:afterAutospacing="0"/>
              <w:textAlignment w:val="bottom"/>
              <w:rPr>
                <w:color w:val="000000"/>
                <w:kern w:val="24"/>
              </w:rPr>
            </w:pPr>
            <w:r w:rsidRPr="00A265DF">
              <w:rPr>
                <w:color w:val="000000"/>
                <w:kern w:val="24"/>
              </w:rPr>
              <w:t>0.005</w:t>
            </w:r>
          </w:p>
        </w:tc>
      </w:tr>
      <w:tr w:rsidR="00A265DF" w:rsidTr="00A265DF">
        <w:trPr>
          <w:jc w:val="center"/>
        </w:trPr>
        <w:tc>
          <w:tcPr>
            <w:tcW w:w="1497" w:type="dxa"/>
            <w:tcBorders>
              <w:top w:val="nil"/>
              <w:left w:val="single" w:sz="4" w:space="0" w:color="auto"/>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IR6.3</w:t>
            </w:r>
          </w:p>
        </w:tc>
        <w:tc>
          <w:tcPr>
            <w:tcW w:w="1075" w:type="dxa"/>
            <w:tcBorders>
              <w:top w:val="nil"/>
              <w:left w:val="single" w:sz="4" w:space="0" w:color="auto"/>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rPr>
              <w:t>-0.003</w:t>
            </w:r>
          </w:p>
        </w:tc>
        <w:tc>
          <w:tcPr>
            <w:tcW w:w="352" w:type="dxa"/>
            <w:tcBorders>
              <w:top w:val="nil"/>
              <w:left w:val="nil"/>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u w:val="single"/>
              </w:rPr>
              <w:t>+</w:t>
            </w:r>
          </w:p>
        </w:tc>
        <w:tc>
          <w:tcPr>
            <w:tcW w:w="983" w:type="dxa"/>
            <w:tcBorders>
              <w:top w:val="nil"/>
              <w:left w:val="nil"/>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0.015</w:t>
            </w:r>
          </w:p>
        </w:tc>
        <w:tc>
          <w:tcPr>
            <w:tcW w:w="892" w:type="dxa"/>
            <w:tcBorders>
              <w:top w:val="nil"/>
              <w:left w:val="single" w:sz="4" w:space="0" w:color="auto"/>
              <w:bottom w:val="nil"/>
              <w:right w:val="nil"/>
            </w:tcBorders>
            <w:vAlign w:val="bottom"/>
          </w:tcPr>
          <w:p w:rsidR="00A15B5F" w:rsidRPr="00A15B5F" w:rsidRDefault="00A265DF" w:rsidP="00187DF5">
            <w:pPr>
              <w:jc w:val="center"/>
              <w:textAlignment w:val="bottom"/>
              <w:rPr>
                <w:color w:val="000000"/>
                <w:kern w:val="24"/>
                <w:szCs w:val="24"/>
              </w:rPr>
            </w:pPr>
            <w:r w:rsidRPr="00A15B5F">
              <w:rPr>
                <w:color w:val="000000"/>
                <w:kern w:val="24"/>
                <w:szCs w:val="24"/>
              </w:rPr>
              <w:t>-0.015</w:t>
            </w:r>
          </w:p>
        </w:tc>
        <w:tc>
          <w:tcPr>
            <w:tcW w:w="352" w:type="dxa"/>
            <w:tcBorders>
              <w:top w:val="nil"/>
              <w:left w:val="nil"/>
              <w:bottom w:val="nil"/>
              <w:right w:val="nil"/>
            </w:tcBorders>
            <w:vAlign w:val="bottom"/>
          </w:tcPr>
          <w:p w:rsidR="00A265DF" w:rsidRPr="00A265DF" w:rsidRDefault="00A265DF">
            <w:pPr>
              <w:pStyle w:val="NormalWeb"/>
              <w:spacing w:before="0" w:beforeAutospacing="0" w:after="0" w:afterAutospacing="0"/>
              <w:jc w:val="center"/>
              <w:textAlignment w:val="bottom"/>
              <w:rPr>
                <w:color w:val="000000"/>
                <w:kern w:val="24"/>
              </w:rPr>
            </w:pPr>
            <w:r w:rsidRPr="00A265DF">
              <w:rPr>
                <w:color w:val="000000"/>
                <w:kern w:val="24"/>
              </w:rPr>
              <w:t>+</w:t>
            </w:r>
          </w:p>
        </w:tc>
        <w:tc>
          <w:tcPr>
            <w:tcW w:w="1053" w:type="dxa"/>
            <w:tcBorders>
              <w:top w:val="nil"/>
              <w:left w:val="nil"/>
              <w:bottom w:val="nil"/>
              <w:right w:val="single" w:sz="4" w:space="0" w:color="auto"/>
            </w:tcBorders>
            <w:vAlign w:val="bottom"/>
          </w:tcPr>
          <w:p w:rsidR="00A265DF" w:rsidRPr="00A265DF" w:rsidRDefault="00A265DF">
            <w:pPr>
              <w:pStyle w:val="NormalWeb"/>
              <w:spacing w:before="0" w:beforeAutospacing="0" w:after="0" w:afterAutospacing="0"/>
              <w:textAlignment w:val="bottom"/>
              <w:rPr>
                <w:color w:val="000000"/>
                <w:kern w:val="24"/>
              </w:rPr>
            </w:pPr>
            <w:r w:rsidRPr="00A265DF">
              <w:rPr>
                <w:color w:val="000000"/>
                <w:kern w:val="24"/>
              </w:rPr>
              <w:t>0.010</w:t>
            </w:r>
          </w:p>
        </w:tc>
      </w:tr>
      <w:tr w:rsidR="00A265DF" w:rsidTr="00A265DF">
        <w:trPr>
          <w:jc w:val="center"/>
        </w:trPr>
        <w:tc>
          <w:tcPr>
            <w:tcW w:w="1497" w:type="dxa"/>
            <w:tcBorders>
              <w:top w:val="nil"/>
              <w:left w:val="single" w:sz="4" w:space="0" w:color="auto"/>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IR7.4</w:t>
            </w:r>
          </w:p>
        </w:tc>
        <w:tc>
          <w:tcPr>
            <w:tcW w:w="1075" w:type="dxa"/>
            <w:tcBorders>
              <w:top w:val="nil"/>
              <w:left w:val="single" w:sz="4" w:space="0" w:color="auto"/>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rPr>
              <w:t>-0.002</w:t>
            </w:r>
          </w:p>
        </w:tc>
        <w:tc>
          <w:tcPr>
            <w:tcW w:w="352" w:type="dxa"/>
            <w:tcBorders>
              <w:top w:val="nil"/>
              <w:left w:val="nil"/>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u w:val="single"/>
              </w:rPr>
              <w:t>+</w:t>
            </w:r>
          </w:p>
        </w:tc>
        <w:tc>
          <w:tcPr>
            <w:tcW w:w="983" w:type="dxa"/>
            <w:tcBorders>
              <w:top w:val="nil"/>
              <w:left w:val="nil"/>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0.010</w:t>
            </w:r>
          </w:p>
        </w:tc>
        <w:tc>
          <w:tcPr>
            <w:tcW w:w="892" w:type="dxa"/>
            <w:tcBorders>
              <w:top w:val="nil"/>
              <w:left w:val="single" w:sz="4" w:space="0" w:color="auto"/>
              <w:bottom w:val="nil"/>
              <w:right w:val="nil"/>
            </w:tcBorders>
            <w:vAlign w:val="bottom"/>
          </w:tcPr>
          <w:p w:rsidR="00A15B5F" w:rsidRPr="00A15B5F" w:rsidRDefault="00A265DF" w:rsidP="00187DF5">
            <w:pPr>
              <w:jc w:val="center"/>
              <w:textAlignment w:val="bottom"/>
              <w:rPr>
                <w:color w:val="000000"/>
                <w:kern w:val="24"/>
                <w:szCs w:val="24"/>
              </w:rPr>
            </w:pPr>
            <w:r w:rsidRPr="00A265DF">
              <w:rPr>
                <w:color w:val="000000"/>
                <w:kern w:val="24"/>
                <w:szCs w:val="24"/>
              </w:rPr>
              <w:t>+</w:t>
            </w:r>
            <w:r w:rsidRPr="00A15B5F">
              <w:rPr>
                <w:color w:val="000000"/>
                <w:kern w:val="24"/>
                <w:szCs w:val="24"/>
              </w:rPr>
              <w:t>0.002</w:t>
            </w:r>
          </w:p>
        </w:tc>
        <w:tc>
          <w:tcPr>
            <w:tcW w:w="352" w:type="dxa"/>
            <w:tcBorders>
              <w:top w:val="nil"/>
              <w:left w:val="nil"/>
              <w:bottom w:val="nil"/>
              <w:right w:val="nil"/>
            </w:tcBorders>
            <w:vAlign w:val="bottom"/>
          </w:tcPr>
          <w:p w:rsidR="00A265DF" w:rsidRPr="00A265DF" w:rsidRDefault="00A265DF">
            <w:pPr>
              <w:pStyle w:val="NormalWeb"/>
              <w:spacing w:before="0" w:beforeAutospacing="0" w:after="0" w:afterAutospacing="0"/>
              <w:jc w:val="center"/>
              <w:textAlignment w:val="bottom"/>
              <w:rPr>
                <w:color w:val="000000"/>
                <w:kern w:val="24"/>
              </w:rPr>
            </w:pPr>
            <w:r w:rsidRPr="00A265DF">
              <w:rPr>
                <w:color w:val="000000"/>
                <w:kern w:val="24"/>
              </w:rPr>
              <w:t>+</w:t>
            </w:r>
          </w:p>
        </w:tc>
        <w:tc>
          <w:tcPr>
            <w:tcW w:w="1053" w:type="dxa"/>
            <w:tcBorders>
              <w:top w:val="nil"/>
              <w:left w:val="nil"/>
              <w:bottom w:val="nil"/>
              <w:right w:val="single" w:sz="4" w:space="0" w:color="auto"/>
            </w:tcBorders>
            <w:vAlign w:val="bottom"/>
          </w:tcPr>
          <w:p w:rsidR="00A265DF" w:rsidRPr="00A265DF" w:rsidRDefault="00A265DF">
            <w:pPr>
              <w:pStyle w:val="NormalWeb"/>
              <w:spacing w:before="0" w:beforeAutospacing="0" w:after="0" w:afterAutospacing="0"/>
              <w:textAlignment w:val="bottom"/>
              <w:rPr>
                <w:color w:val="000000"/>
                <w:kern w:val="24"/>
              </w:rPr>
            </w:pPr>
            <w:r w:rsidRPr="00A265DF">
              <w:rPr>
                <w:color w:val="000000"/>
                <w:kern w:val="24"/>
              </w:rPr>
              <w:t>0.007</w:t>
            </w:r>
          </w:p>
        </w:tc>
      </w:tr>
      <w:tr w:rsidR="00A265DF" w:rsidTr="00A265DF">
        <w:trPr>
          <w:jc w:val="center"/>
        </w:trPr>
        <w:tc>
          <w:tcPr>
            <w:tcW w:w="1497" w:type="dxa"/>
            <w:tcBorders>
              <w:top w:val="nil"/>
              <w:left w:val="single" w:sz="4" w:space="0" w:color="auto"/>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IR8.7</w:t>
            </w:r>
          </w:p>
        </w:tc>
        <w:tc>
          <w:tcPr>
            <w:tcW w:w="1075" w:type="dxa"/>
            <w:tcBorders>
              <w:top w:val="nil"/>
              <w:left w:val="single" w:sz="4" w:space="0" w:color="auto"/>
              <w:bottom w:val="nil"/>
              <w:right w:val="nil"/>
            </w:tcBorders>
            <w:vAlign w:val="bottom"/>
          </w:tcPr>
          <w:p w:rsidR="00A15B5F" w:rsidRPr="00A15B5F" w:rsidRDefault="00A265DF" w:rsidP="00187DF5">
            <w:pPr>
              <w:jc w:val="center"/>
              <w:textAlignment w:val="bottom"/>
              <w:rPr>
                <w:szCs w:val="24"/>
              </w:rPr>
            </w:pPr>
            <w:r>
              <w:rPr>
                <w:color w:val="000000"/>
                <w:kern w:val="24"/>
                <w:szCs w:val="24"/>
              </w:rPr>
              <w:t>+</w:t>
            </w:r>
            <w:r w:rsidRPr="00A15B5F">
              <w:rPr>
                <w:color w:val="000000"/>
                <w:kern w:val="24"/>
                <w:szCs w:val="24"/>
              </w:rPr>
              <w:t>0.002</w:t>
            </w:r>
          </w:p>
        </w:tc>
        <w:tc>
          <w:tcPr>
            <w:tcW w:w="352" w:type="dxa"/>
            <w:tcBorders>
              <w:top w:val="nil"/>
              <w:left w:val="nil"/>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u w:val="single"/>
              </w:rPr>
              <w:t>+</w:t>
            </w:r>
          </w:p>
        </w:tc>
        <w:tc>
          <w:tcPr>
            <w:tcW w:w="983" w:type="dxa"/>
            <w:tcBorders>
              <w:top w:val="nil"/>
              <w:left w:val="nil"/>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0.008</w:t>
            </w:r>
          </w:p>
        </w:tc>
        <w:tc>
          <w:tcPr>
            <w:tcW w:w="892" w:type="dxa"/>
            <w:tcBorders>
              <w:top w:val="nil"/>
              <w:left w:val="single" w:sz="4" w:space="0" w:color="auto"/>
              <w:bottom w:val="nil"/>
              <w:right w:val="nil"/>
            </w:tcBorders>
            <w:vAlign w:val="bottom"/>
          </w:tcPr>
          <w:p w:rsidR="00A15B5F" w:rsidRPr="00A15B5F" w:rsidRDefault="00A265DF" w:rsidP="00187DF5">
            <w:pPr>
              <w:jc w:val="center"/>
              <w:textAlignment w:val="bottom"/>
              <w:rPr>
                <w:color w:val="000000"/>
                <w:kern w:val="24"/>
                <w:szCs w:val="24"/>
              </w:rPr>
            </w:pPr>
            <w:r w:rsidRPr="00A265DF">
              <w:rPr>
                <w:color w:val="000000"/>
                <w:kern w:val="24"/>
                <w:szCs w:val="24"/>
              </w:rPr>
              <w:t>+</w:t>
            </w:r>
            <w:r w:rsidRPr="00A15B5F">
              <w:rPr>
                <w:color w:val="000000"/>
                <w:kern w:val="24"/>
                <w:szCs w:val="24"/>
              </w:rPr>
              <w:t>0.000</w:t>
            </w:r>
          </w:p>
        </w:tc>
        <w:tc>
          <w:tcPr>
            <w:tcW w:w="352" w:type="dxa"/>
            <w:tcBorders>
              <w:top w:val="nil"/>
              <w:left w:val="nil"/>
              <w:bottom w:val="nil"/>
              <w:right w:val="nil"/>
            </w:tcBorders>
            <w:vAlign w:val="bottom"/>
          </w:tcPr>
          <w:p w:rsidR="00A265DF" w:rsidRPr="00A265DF" w:rsidRDefault="00A265DF">
            <w:pPr>
              <w:pStyle w:val="NormalWeb"/>
              <w:spacing w:before="0" w:beforeAutospacing="0" w:after="0" w:afterAutospacing="0"/>
              <w:jc w:val="center"/>
              <w:textAlignment w:val="bottom"/>
              <w:rPr>
                <w:color w:val="000000"/>
                <w:kern w:val="24"/>
              </w:rPr>
            </w:pPr>
            <w:r w:rsidRPr="00A265DF">
              <w:rPr>
                <w:color w:val="000000"/>
                <w:kern w:val="24"/>
              </w:rPr>
              <w:t>+</w:t>
            </w:r>
          </w:p>
        </w:tc>
        <w:tc>
          <w:tcPr>
            <w:tcW w:w="1053" w:type="dxa"/>
            <w:tcBorders>
              <w:top w:val="nil"/>
              <w:left w:val="nil"/>
              <w:bottom w:val="nil"/>
              <w:right w:val="single" w:sz="4" w:space="0" w:color="auto"/>
            </w:tcBorders>
            <w:vAlign w:val="bottom"/>
          </w:tcPr>
          <w:p w:rsidR="00A265DF" w:rsidRPr="00A265DF" w:rsidRDefault="00A265DF">
            <w:pPr>
              <w:pStyle w:val="NormalWeb"/>
              <w:spacing w:before="0" w:beforeAutospacing="0" w:after="0" w:afterAutospacing="0"/>
              <w:textAlignment w:val="bottom"/>
              <w:rPr>
                <w:color w:val="000000"/>
                <w:kern w:val="24"/>
              </w:rPr>
            </w:pPr>
            <w:r w:rsidRPr="00A265DF">
              <w:rPr>
                <w:color w:val="000000"/>
                <w:kern w:val="24"/>
              </w:rPr>
              <w:t>0.006</w:t>
            </w:r>
          </w:p>
        </w:tc>
      </w:tr>
      <w:tr w:rsidR="00A265DF" w:rsidTr="00A265DF">
        <w:trPr>
          <w:jc w:val="center"/>
        </w:trPr>
        <w:tc>
          <w:tcPr>
            <w:tcW w:w="1497" w:type="dxa"/>
            <w:tcBorders>
              <w:top w:val="nil"/>
              <w:left w:val="single" w:sz="4" w:space="0" w:color="auto"/>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IR9.7</w:t>
            </w:r>
          </w:p>
        </w:tc>
        <w:tc>
          <w:tcPr>
            <w:tcW w:w="1075" w:type="dxa"/>
            <w:tcBorders>
              <w:top w:val="nil"/>
              <w:left w:val="single" w:sz="4" w:space="0" w:color="auto"/>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rPr>
              <w:t>-0.005</w:t>
            </w:r>
          </w:p>
        </w:tc>
        <w:tc>
          <w:tcPr>
            <w:tcW w:w="352" w:type="dxa"/>
            <w:tcBorders>
              <w:top w:val="nil"/>
              <w:left w:val="nil"/>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u w:val="single"/>
              </w:rPr>
              <w:t>+</w:t>
            </w:r>
          </w:p>
        </w:tc>
        <w:tc>
          <w:tcPr>
            <w:tcW w:w="983" w:type="dxa"/>
            <w:tcBorders>
              <w:top w:val="nil"/>
              <w:left w:val="nil"/>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0.011</w:t>
            </w:r>
          </w:p>
        </w:tc>
        <w:tc>
          <w:tcPr>
            <w:tcW w:w="892" w:type="dxa"/>
            <w:tcBorders>
              <w:top w:val="nil"/>
              <w:left w:val="single" w:sz="4" w:space="0" w:color="auto"/>
              <w:bottom w:val="nil"/>
              <w:right w:val="nil"/>
            </w:tcBorders>
            <w:vAlign w:val="bottom"/>
          </w:tcPr>
          <w:p w:rsidR="00A15B5F" w:rsidRPr="00A15B5F" w:rsidRDefault="00A265DF" w:rsidP="00187DF5">
            <w:pPr>
              <w:jc w:val="center"/>
              <w:textAlignment w:val="bottom"/>
              <w:rPr>
                <w:color w:val="000000"/>
                <w:kern w:val="24"/>
                <w:szCs w:val="24"/>
              </w:rPr>
            </w:pPr>
            <w:r w:rsidRPr="00A15B5F">
              <w:rPr>
                <w:color w:val="000000"/>
                <w:kern w:val="24"/>
                <w:szCs w:val="24"/>
              </w:rPr>
              <w:t>-0.027</w:t>
            </w:r>
          </w:p>
        </w:tc>
        <w:tc>
          <w:tcPr>
            <w:tcW w:w="352" w:type="dxa"/>
            <w:tcBorders>
              <w:top w:val="nil"/>
              <w:left w:val="nil"/>
              <w:bottom w:val="nil"/>
              <w:right w:val="nil"/>
            </w:tcBorders>
            <w:vAlign w:val="bottom"/>
          </w:tcPr>
          <w:p w:rsidR="00A265DF" w:rsidRPr="00A265DF" w:rsidRDefault="00A265DF">
            <w:pPr>
              <w:pStyle w:val="NormalWeb"/>
              <w:spacing w:before="0" w:beforeAutospacing="0" w:after="0" w:afterAutospacing="0"/>
              <w:jc w:val="center"/>
              <w:textAlignment w:val="bottom"/>
              <w:rPr>
                <w:color w:val="000000"/>
                <w:kern w:val="24"/>
              </w:rPr>
            </w:pPr>
            <w:r w:rsidRPr="00A265DF">
              <w:rPr>
                <w:color w:val="000000"/>
                <w:kern w:val="24"/>
              </w:rPr>
              <w:t>+</w:t>
            </w:r>
          </w:p>
        </w:tc>
        <w:tc>
          <w:tcPr>
            <w:tcW w:w="1053" w:type="dxa"/>
            <w:tcBorders>
              <w:top w:val="nil"/>
              <w:left w:val="nil"/>
              <w:bottom w:val="nil"/>
              <w:right w:val="single" w:sz="4" w:space="0" w:color="auto"/>
            </w:tcBorders>
            <w:vAlign w:val="bottom"/>
          </w:tcPr>
          <w:p w:rsidR="00A265DF" w:rsidRPr="00A265DF" w:rsidRDefault="00A265DF">
            <w:pPr>
              <w:pStyle w:val="NormalWeb"/>
              <w:spacing w:before="0" w:beforeAutospacing="0" w:after="0" w:afterAutospacing="0"/>
              <w:textAlignment w:val="bottom"/>
              <w:rPr>
                <w:color w:val="000000"/>
                <w:kern w:val="24"/>
              </w:rPr>
            </w:pPr>
            <w:r w:rsidRPr="00A265DF">
              <w:rPr>
                <w:color w:val="000000"/>
                <w:kern w:val="24"/>
              </w:rPr>
              <w:t>0.007</w:t>
            </w:r>
          </w:p>
        </w:tc>
      </w:tr>
      <w:tr w:rsidR="00A265DF" w:rsidTr="00A265DF">
        <w:trPr>
          <w:jc w:val="center"/>
        </w:trPr>
        <w:tc>
          <w:tcPr>
            <w:tcW w:w="1497" w:type="dxa"/>
            <w:tcBorders>
              <w:top w:val="nil"/>
              <w:left w:val="single" w:sz="4" w:space="0" w:color="auto"/>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IR10.8</w:t>
            </w:r>
          </w:p>
        </w:tc>
        <w:tc>
          <w:tcPr>
            <w:tcW w:w="1075" w:type="dxa"/>
            <w:tcBorders>
              <w:top w:val="nil"/>
              <w:left w:val="single" w:sz="4" w:space="0" w:color="auto"/>
              <w:bottom w:val="nil"/>
              <w:right w:val="nil"/>
            </w:tcBorders>
            <w:vAlign w:val="bottom"/>
          </w:tcPr>
          <w:p w:rsidR="00A15B5F" w:rsidRPr="00A15B5F" w:rsidRDefault="00A265DF" w:rsidP="00187DF5">
            <w:pPr>
              <w:jc w:val="center"/>
              <w:textAlignment w:val="bottom"/>
              <w:rPr>
                <w:szCs w:val="24"/>
              </w:rPr>
            </w:pPr>
            <w:r>
              <w:rPr>
                <w:color w:val="000000"/>
                <w:kern w:val="24"/>
                <w:szCs w:val="24"/>
              </w:rPr>
              <w:t>+</w:t>
            </w:r>
            <w:r w:rsidRPr="00A15B5F">
              <w:rPr>
                <w:color w:val="000000"/>
                <w:kern w:val="24"/>
                <w:szCs w:val="24"/>
              </w:rPr>
              <w:t>0.004</w:t>
            </w:r>
          </w:p>
        </w:tc>
        <w:tc>
          <w:tcPr>
            <w:tcW w:w="352" w:type="dxa"/>
            <w:tcBorders>
              <w:top w:val="nil"/>
              <w:left w:val="nil"/>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u w:val="single"/>
              </w:rPr>
              <w:t>+</w:t>
            </w:r>
          </w:p>
        </w:tc>
        <w:tc>
          <w:tcPr>
            <w:tcW w:w="983" w:type="dxa"/>
            <w:tcBorders>
              <w:top w:val="nil"/>
              <w:left w:val="nil"/>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0.009</w:t>
            </w:r>
          </w:p>
        </w:tc>
        <w:tc>
          <w:tcPr>
            <w:tcW w:w="892" w:type="dxa"/>
            <w:tcBorders>
              <w:top w:val="nil"/>
              <w:left w:val="single" w:sz="4" w:space="0" w:color="auto"/>
              <w:bottom w:val="nil"/>
              <w:right w:val="nil"/>
            </w:tcBorders>
            <w:vAlign w:val="bottom"/>
          </w:tcPr>
          <w:p w:rsidR="00A15B5F" w:rsidRPr="00A15B5F" w:rsidRDefault="00A265DF" w:rsidP="00187DF5">
            <w:pPr>
              <w:jc w:val="center"/>
              <w:textAlignment w:val="bottom"/>
              <w:rPr>
                <w:color w:val="000000"/>
                <w:kern w:val="24"/>
                <w:szCs w:val="24"/>
              </w:rPr>
            </w:pPr>
            <w:r w:rsidRPr="00A15B5F">
              <w:rPr>
                <w:color w:val="000000"/>
                <w:kern w:val="24"/>
                <w:szCs w:val="24"/>
              </w:rPr>
              <w:t>-0.016</w:t>
            </w:r>
          </w:p>
        </w:tc>
        <w:tc>
          <w:tcPr>
            <w:tcW w:w="352" w:type="dxa"/>
            <w:tcBorders>
              <w:top w:val="nil"/>
              <w:left w:val="nil"/>
              <w:bottom w:val="nil"/>
              <w:right w:val="nil"/>
            </w:tcBorders>
            <w:vAlign w:val="bottom"/>
          </w:tcPr>
          <w:p w:rsidR="00A265DF" w:rsidRPr="00A265DF" w:rsidRDefault="00A265DF">
            <w:pPr>
              <w:pStyle w:val="NormalWeb"/>
              <w:spacing w:before="0" w:beforeAutospacing="0" w:after="0" w:afterAutospacing="0"/>
              <w:jc w:val="center"/>
              <w:textAlignment w:val="bottom"/>
              <w:rPr>
                <w:color w:val="000000"/>
                <w:kern w:val="24"/>
              </w:rPr>
            </w:pPr>
            <w:r w:rsidRPr="00A265DF">
              <w:rPr>
                <w:color w:val="000000"/>
                <w:kern w:val="24"/>
              </w:rPr>
              <w:t>+</w:t>
            </w:r>
          </w:p>
        </w:tc>
        <w:tc>
          <w:tcPr>
            <w:tcW w:w="1053" w:type="dxa"/>
            <w:tcBorders>
              <w:top w:val="nil"/>
              <w:left w:val="nil"/>
              <w:bottom w:val="nil"/>
              <w:right w:val="single" w:sz="4" w:space="0" w:color="auto"/>
            </w:tcBorders>
            <w:vAlign w:val="bottom"/>
          </w:tcPr>
          <w:p w:rsidR="00A265DF" w:rsidRPr="00A265DF" w:rsidRDefault="00A265DF">
            <w:pPr>
              <w:pStyle w:val="NormalWeb"/>
              <w:spacing w:before="0" w:beforeAutospacing="0" w:after="0" w:afterAutospacing="0"/>
              <w:textAlignment w:val="bottom"/>
              <w:rPr>
                <w:color w:val="000000"/>
                <w:kern w:val="24"/>
              </w:rPr>
            </w:pPr>
            <w:r w:rsidRPr="00A265DF">
              <w:rPr>
                <w:color w:val="000000"/>
                <w:kern w:val="24"/>
              </w:rPr>
              <w:t>0.006</w:t>
            </w:r>
          </w:p>
        </w:tc>
      </w:tr>
      <w:tr w:rsidR="00A265DF" w:rsidTr="00A265DF">
        <w:trPr>
          <w:jc w:val="center"/>
        </w:trPr>
        <w:tc>
          <w:tcPr>
            <w:tcW w:w="1497" w:type="dxa"/>
            <w:tcBorders>
              <w:top w:val="nil"/>
              <w:left w:val="single" w:sz="4" w:space="0" w:color="auto"/>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IR12.0</w:t>
            </w:r>
          </w:p>
        </w:tc>
        <w:tc>
          <w:tcPr>
            <w:tcW w:w="1075" w:type="dxa"/>
            <w:tcBorders>
              <w:top w:val="nil"/>
              <w:left w:val="single" w:sz="4" w:space="0" w:color="auto"/>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rPr>
              <w:t>-0.009</w:t>
            </w:r>
          </w:p>
        </w:tc>
        <w:tc>
          <w:tcPr>
            <w:tcW w:w="352" w:type="dxa"/>
            <w:tcBorders>
              <w:top w:val="nil"/>
              <w:left w:val="nil"/>
              <w:bottom w:val="nil"/>
              <w:right w:val="nil"/>
            </w:tcBorders>
            <w:vAlign w:val="bottom"/>
          </w:tcPr>
          <w:p w:rsidR="00A15B5F" w:rsidRPr="00A15B5F" w:rsidRDefault="00A265DF" w:rsidP="00187DF5">
            <w:pPr>
              <w:jc w:val="center"/>
              <w:textAlignment w:val="bottom"/>
              <w:rPr>
                <w:szCs w:val="24"/>
              </w:rPr>
            </w:pPr>
            <w:r w:rsidRPr="00A15B5F">
              <w:rPr>
                <w:color w:val="000000"/>
                <w:kern w:val="24"/>
                <w:szCs w:val="24"/>
                <w:u w:val="single"/>
              </w:rPr>
              <w:t>+</w:t>
            </w:r>
          </w:p>
        </w:tc>
        <w:tc>
          <w:tcPr>
            <w:tcW w:w="983" w:type="dxa"/>
            <w:tcBorders>
              <w:top w:val="nil"/>
              <w:left w:val="nil"/>
              <w:bottom w:val="nil"/>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0.009</w:t>
            </w:r>
          </w:p>
        </w:tc>
        <w:tc>
          <w:tcPr>
            <w:tcW w:w="892" w:type="dxa"/>
            <w:tcBorders>
              <w:top w:val="nil"/>
              <w:left w:val="single" w:sz="4" w:space="0" w:color="auto"/>
              <w:bottom w:val="nil"/>
              <w:right w:val="nil"/>
            </w:tcBorders>
            <w:vAlign w:val="bottom"/>
          </w:tcPr>
          <w:p w:rsidR="00A15B5F" w:rsidRPr="00A15B5F" w:rsidRDefault="00A265DF" w:rsidP="00187DF5">
            <w:pPr>
              <w:jc w:val="center"/>
              <w:textAlignment w:val="bottom"/>
              <w:rPr>
                <w:color w:val="000000"/>
                <w:kern w:val="24"/>
                <w:szCs w:val="24"/>
              </w:rPr>
            </w:pPr>
            <w:r w:rsidRPr="00A15B5F">
              <w:rPr>
                <w:color w:val="000000"/>
                <w:kern w:val="24"/>
                <w:szCs w:val="24"/>
              </w:rPr>
              <w:t>-0.018</w:t>
            </w:r>
          </w:p>
        </w:tc>
        <w:tc>
          <w:tcPr>
            <w:tcW w:w="352" w:type="dxa"/>
            <w:tcBorders>
              <w:top w:val="nil"/>
              <w:left w:val="nil"/>
              <w:bottom w:val="nil"/>
              <w:right w:val="nil"/>
            </w:tcBorders>
            <w:vAlign w:val="bottom"/>
          </w:tcPr>
          <w:p w:rsidR="00A265DF" w:rsidRPr="00A265DF" w:rsidRDefault="00A265DF">
            <w:pPr>
              <w:pStyle w:val="NormalWeb"/>
              <w:spacing w:before="0" w:beforeAutospacing="0" w:after="0" w:afterAutospacing="0"/>
              <w:jc w:val="center"/>
              <w:textAlignment w:val="bottom"/>
              <w:rPr>
                <w:color w:val="000000"/>
                <w:kern w:val="24"/>
              </w:rPr>
            </w:pPr>
            <w:r w:rsidRPr="00A265DF">
              <w:rPr>
                <w:color w:val="000000"/>
                <w:kern w:val="24"/>
              </w:rPr>
              <w:t>+</w:t>
            </w:r>
          </w:p>
        </w:tc>
        <w:tc>
          <w:tcPr>
            <w:tcW w:w="1053" w:type="dxa"/>
            <w:tcBorders>
              <w:top w:val="nil"/>
              <w:left w:val="nil"/>
              <w:bottom w:val="nil"/>
              <w:right w:val="single" w:sz="4" w:space="0" w:color="auto"/>
            </w:tcBorders>
            <w:vAlign w:val="bottom"/>
          </w:tcPr>
          <w:p w:rsidR="00A265DF" w:rsidRPr="00A265DF" w:rsidRDefault="00A265DF">
            <w:pPr>
              <w:pStyle w:val="NormalWeb"/>
              <w:spacing w:before="0" w:beforeAutospacing="0" w:after="0" w:afterAutospacing="0"/>
              <w:textAlignment w:val="bottom"/>
              <w:rPr>
                <w:color w:val="000000"/>
                <w:kern w:val="24"/>
              </w:rPr>
            </w:pPr>
            <w:r w:rsidRPr="00A265DF">
              <w:rPr>
                <w:color w:val="000000"/>
                <w:kern w:val="24"/>
              </w:rPr>
              <w:t>0.006</w:t>
            </w:r>
          </w:p>
        </w:tc>
      </w:tr>
      <w:tr w:rsidR="00A265DF" w:rsidTr="00A265DF">
        <w:trPr>
          <w:jc w:val="center"/>
        </w:trPr>
        <w:tc>
          <w:tcPr>
            <w:tcW w:w="1497" w:type="dxa"/>
            <w:tcBorders>
              <w:top w:val="nil"/>
              <w:left w:val="single" w:sz="4" w:space="0" w:color="auto"/>
              <w:bottom w:val="single" w:sz="4" w:space="0" w:color="auto"/>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IR13.4</w:t>
            </w:r>
          </w:p>
        </w:tc>
        <w:tc>
          <w:tcPr>
            <w:tcW w:w="1075" w:type="dxa"/>
            <w:tcBorders>
              <w:top w:val="nil"/>
              <w:left w:val="single" w:sz="4" w:space="0" w:color="auto"/>
              <w:bottom w:val="single" w:sz="4" w:space="0" w:color="auto"/>
              <w:right w:val="nil"/>
            </w:tcBorders>
            <w:vAlign w:val="bottom"/>
          </w:tcPr>
          <w:p w:rsidR="00A15B5F" w:rsidRPr="00A15B5F" w:rsidRDefault="00A265DF" w:rsidP="00187DF5">
            <w:pPr>
              <w:jc w:val="center"/>
              <w:textAlignment w:val="bottom"/>
              <w:rPr>
                <w:szCs w:val="24"/>
              </w:rPr>
            </w:pPr>
            <w:r w:rsidRPr="00A15B5F">
              <w:rPr>
                <w:color w:val="000000"/>
                <w:kern w:val="24"/>
                <w:szCs w:val="24"/>
              </w:rPr>
              <w:t>-0.011</w:t>
            </w:r>
          </w:p>
        </w:tc>
        <w:tc>
          <w:tcPr>
            <w:tcW w:w="352" w:type="dxa"/>
            <w:tcBorders>
              <w:top w:val="nil"/>
              <w:left w:val="nil"/>
              <w:bottom w:val="single" w:sz="4" w:space="0" w:color="auto"/>
              <w:right w:val="nil"/>
            </w:tcBorders>
            <w:vAlign w:val="bottom"/>
          </w:tcPr>
          <w:p w:rsidR="00A15B5F" w:rsidRPr="00A15B5F" w:rsidRDefault="00A265DF" w:rsidP="00187DF5">
            <w:pPr>
              <w:jc w:val="center"/>
              <w:textAlignment w:val="bottom"/>
              <w:rPr>
                <w:szCs w:val="24"/>
              </w:rPr>
            </w:pPr>
            <w:r w:rsidRPr="00A15B5F">
              <w:rPr>
                <w:color w:val="000000"/>
                <w:kern w:val="24"/>
                <w:szCs w:val="24"/>
                <w:u w:val="single"/>
              </w:rPr>
              <w:t>+</w:t>
            </w:r>
          </w:p>
        </w:tc>
        <w:tc>
          <w:tcPr>
            <w:tcW w:w="983" w:type="dxa"/>
            <w:tcBorders>
              <w:top w:val="nil"/>
              <w:left w:val="nil"/>
              <w:bottom w:val="single" w:sz="4" w:space="0" w:color="auto"/>
              <w:right w:val="single" w:sz="4" w:space="0" w:color="auto"/>
            </w:tcBorders>
            <w:vAlign w:val="bottom"/>
          </w:tcPr>
          <w:p w:rsidR="00A15B5F" w:rsidRPr="00A15B5F" w:rsidRDefault="00A265DF" w:rsidP="00187DF5">
            <w:pPr>
              <w:jc w:val="center"/>
              <w:textAlignment w:val="bottom"/>
              <w:rPr>
                <w:szCs w:val="24"/>
              </w:rPr>
            </w:pPr>
            <w:r w:rsidRPr="00A15B5F">
              <w:rPr>
                <w:color w:val="000000"/>
                <w:kern w:val="24"/>
                <w:szCs w:val="24"/>
              </w:rPr>
              <w:t>0.008</w:t>
            </w:r>
          </w:p>
        </w:tc>
        <w:tc>
          <w:tcPr>
            <w:tcW w:w="892" w:type="dxa"/>
            <w:tcBorders>
              <w:top w:val="nil"/>
              <w:left w:val="single" w:sz="4" w:space="0" w:color="auto"/>
              <w:bottom w:val="single" w:sz="4" w:space="0" w:color="auto"/>
              <w:right w:val="nil"/>
            </w:tcBorders>
            <w:vAlign w:val="bottom"/>
          </w:tcPr>
          <w:p w:rsidR="00A15B5F" w:rsidRPr="00A15B5F" w:rsidRDefault="00A265DF" w:rsidP="00187DF5">
            <w:pPr>
              <w:jc w:val="center"/>
              <w:textAlignment w:val="bottom"/>
              <w:rPr>
                <w:color w:val="000000"/>
                <w:kern w:val="24"/>
                <w:szCs w:val="24"/>
              </w:rPr>
            </w:pPr>
            <w:r w:rsidRPr="00A15B5F">
              <w:rPr>
                <w:color w:val="000000"/>
                <w:kern w:val="24"/>
                <w:szCs w:val="24"/>
              </w:rPr>
              <w:t>-0.042</w:t>
            </w:r>
          </w:p>
        </w:tc>
        <w:tc>
          <w:tcPr>
            <w:tcW w:w="352" w:type="dxa"/>
            <w:tcBorders>
              <w:top w:val="nil"/>
              <w:left w:val="nil"/>
              <w:bottom w:val="single" w:sz="4" w:space="0" w:color="auto"/>
              <w:right w:val="nil"/>
            </w:tcBorders>
            <w:vAlign w:val="bottom"/>
          </w:tcPr>
          <w:p w:rsidR="00A265DF" w:rsidRPr="00A265DF" w:rsidRDefault="00A265DF">
            <w:pPr>
              <w:pStyle w:val="NormalWeb"/>
              <w:spacing w:before="0" w:beforeAutospacing="0" w:after="0" w:afterAutospacing="0"/>
              <w:jc w:val="center"/>
              <w:textAlignment w:val="bottom"/>
              <w:rPr>
                <w:color w:val="000000"/>
                <w:kern w:val="24"/>
              </w:rPr>
            </w:pPr>
            <w:r w:rsidRPr="00A265DF">
              <w:rPr>
                <w:color w:val="000000"/>
                <w:kern w:val="24"/>
              </w:rPr>
              <w:t>+</w:t>
            </w:r>
          </w:p>
        </w:tc>
        <w:tc>
          <w:tcPr>
            <w:tcW w:w="1053" w:type="dxa"/>
            <w:tcBorders>
              <w:top w:val="nil"/>
              <w:left w:val="nil"/>
              <w:bottom w:val="single" w:sz="4" w:space="0" w:color="auto"/>
              <w:right w:val="single" w:sz="4" w:space="0" w:color="auto"/>
            </w:tcBorders>
            <w:vAlign w:val="bottom"/>
          </w:tcPr>
          <w:p w:rsidR="00A265DF" w:rsidRPr="00A265DF" w:rsidRDefault="00A265DF">
            <w:pPr>
              <w:pStyle w:val="NormalWeb"/>
              <w:spacing w:before="0" w:beforeAutospacing="0" w:after="0" w:afterAutospacing="0"/>
              <w:textAlignment w:val="bottom"/>
              <w:rPr>
                <w:color w:val="000000"/>
                <w:kern w:val="24"/>
              </w:rPr>
            </w:pPr>
            <w:r w:rsidRPr="00A265DF">
              <w:rPr>
                <w:color w:val="000000"/>
                <w:kern w:val="24"/>
              </w:rPr>
              <w:t>0.006</w:t>
            </w:r>
          </w:p>
        </w:tc>
      </w:tr>
    </w:tbl>
    <w:p w:rsidR="00A15B5F" w:rsidRDefault="00A15B5F" w:rsidP="00976986"/>
    <w:p w:rsidR="00A265DF" w:rsidRDefault="00E85D96" w:rsidP="00A265DF">
      <w:r>
        <w:fldChar w:fldCharType="begin"/>
      </w:r>
      <w:r w:rsidR="00A265DF">
        <w:instrText xml:space="preserve"> REF _Ref460252920 \h </w:instrText>
      </w:r>
      <w:r>
        <w:fldChar w:fldCharType="separate"/>
      </w:r>
      <w:r w:rsidR="00A265DF">
        <w:t xml:space="preserve">Table </w:t>
      </w:r>
      <w:r w:rsidR="00A265DF">
        <w:rPr>
          <w:noProof/>
        </w:rPr>
        <w:t>1</w:t>
      </w:r>
      <w:r>
        <w:fldChar w:fldCharType="end"/>
      </w:r>
      <w:r w:rsidR="00A265DF">
        <w:t xml:space="preserve"> also shows there is no statistically significant difference in any channel between IASI-A and -B in short- and mid-wavelength bands. However, small, but significant differences were found in the long-wave band channels. </w:t>
      </w:r>
    </w:p>
    <w:p w:rsidR="00A265DF" w:rsidRDefault="00A265DF" w:rsidP="00A265DF"/>
    <w:p w:rsidR="00490011" w:rsidRDefault="00A265DF" w:rsidP="00490011">
      <w:r>
        <w:t xml:space="preserve">These differences are found to be larger for colder scenes, as shown </w:t>
      </w:r>
      <w:r w:rsidR="00490011">
        <w:t xml:space="preserve">for IR13.4 </w:t>
      </w:r>
      <w:r>
        <w:t xml:space="preserve">in </w:t>
      </w:r>
      <w:r w:rsidR="00E85D96">
        <w:fldChar w:fldCharType="begin"/>
      </w:r>
      <w:r w:rsidR="00490011">
        <w:instrText xml:space="preserve"> REF _Ref404676472 \h </w:instrText>
      </w:r>
      <w:r w:rsidR="00E85D96">
        <w:fldChar w:fldCharType="separate"/>
      </w:r>
      <w:r w:rsidR="00490011" w:rsidRPr="002624B3">
        <w:t xml:space="preserve">Figure </w:t>
      </w:r>
      <w:r w:rsidR="00490011">
        <w:rPr>
          <w:noProof/>
        </w:rPr>
        <w:t>2</w:t>
      </w:r>
      <w:r w:rsidR="00E85D96">
        <w:fldChar w:fldCharType="end"/>
      </w:r>
      <w:r w:rsidR="00490011">
        <w:t>. These results are consistent with those found from CNES’s SIC tool, and are believed to be due to non-linearity differences in the operational processing of data between the IASIs on Metop-A and –B.</w:t>
      </w:r>
    </w:p>
    <w:p w:rsidR="00490011" w:rsidRDefault="00490011" w:rsidP="00490011"/>
    <w:p w:rsidR="00490011" w:rsidRDefault="00490011" w:rsidP="00490011">
      <w:r>
        <w:t>This implies great care should be taken when comparing results from different domains – for example the mean brightness temperature differences from polar SNOs should not be expected to match the mean values from globally-distributed “Quasi-SNOs”. Instead the results should be compared in equivalent radiance bins.</w:t>
      </w:r>
    </w:p>
    <w:p w:rsidR="00976986" w:rsidRDefault="00976986" w:rsidP="00976986"/>
    <w:p w:rsidR="00976986" w:rsidRPr="00E0378B" w:rsidRDefault="00976986" w:rsidP="0042471A"/>
    <w:p w:rsidR="0042471A" w:rsidRDefault="00A265DF" w:rsidP="0042471A">
      <w:pPr>
        <w:keepNext/>
      </w:pPr>
      <w:r w:rsidRPr="00A265DF">
        <w:rPr>
          <w:noProof/>
        </w:rPr>
        <w:drawing>
          <wp:inline distT="0" distB="0" distL="0" distR="0">
            <wp:extent cx="5943600" cy="3260725"/>
            <wp:effectExtent l="19050" t="0" r="0" b="0"/>
            <wp:docPr id="8" name="Picture 2" descr="https://lh5.googleusercontent.com/U8LmZMPOlx6oN-VDO9U1bj2wn3bFWLS2TrpIi6xdoKw35WP7FTQ7oFmuRM8Xzr72bcmXYmeBcviiHRxNxXPUnCrtmY4Z5UpWw7P-8T0HMMMNZKea1gzcjURStcoCKNq_hjCQfL4d"/>
            <wp:cNvGraphicFramePr/>
            <a:graphic xmlns:a="http://schemas.openxmlformats.org/drawingml/2006/main">
              <a:graphicData uri="http://schemas.openxmlformats.org/drawingml/2006/picture">
                <pic:pic xmlns:pic="http://schemas.openxmlformats.org/drawingml/2006/picture">
                  <pic:nvPicPr>
                    <pic:cNvPr id="109" name="Picture 2" descr="https://lh5.googleusercontent.com/U8LmZMPOlx6oN-VDO9U1bj2wn3bFWLS2TrpIi6xdoKw35WP7FTQ7oFmuRM8Xzr72bcmXYmeBcviiHRxNxXPUnCrtmY4Z5UpWw7P-8T0HMMMNZKea1gzcjURStcoCKNq_hjCQfL4d"/>
                    <pic:cNvPicPr>
                      <a:picLocks noChangeAspect="1" noChangeArrowheads="1"/>
                    </pic:cNvPicPr>
                  </pic:nvPicPr>
                  <pic:blipFill>
                    <a:blip r:embed="rId22" cstate="print"/>
                    <a:srcRect/>
                    <a:stretch>
                      <a:fillRect/>
                    </a:stretch>
                  </pic:blipFill>
                  <pic:spPr bwMode="auto">
                    <a:xfrm>
                      <a:off x="0" y="0"/>
                      <a:ext cx="5943600" cy="3260725"/>
                    </a:xfrm>
                    <a:prstGeom prst="rect">
                      <a:avLst/>
                    </a:prstGeom>
                    <a:noFill/>
                  </pic:spPr>
                </pic:pic>
              </a:graphicData>
            </a:graphic>
          </wp:inline>
        </w:drawing>
      </w:r>
    </w:p>
    <w:p w:rsidR="0042471A" w:rsidRPr="002624B3" w:rsidRDefault="0042471A" w:rsidP="00A265DF">
      <w:pPr>
        <w:pStyle w:val="Caption"/>
      </w:pPr>
      <w:bookmarkStart w:id="28" w:name="_Ref404676472"/>
      <w:bookmarkStart w:id="29" w:name="_Toc460253933"/>
      <w:r w:rsidRPr="002624B3">
        <w:t xml:space="preserve">Figure </w:t>
      </w:r>
      <w:fldSimple w:instr=" SEQ Figure \* ARABIC ">
        <w:r w:rsidR="00EA692E">
          <w:rPr>
            <w:noProof/>
          </w:rPr>
          <w:t>2</w:t>
        </w:r>
      </w:fldSimple>
      <w:bookmarkEnd w:id="28"/>
      <w:r w:rsidRPr="002624B3">
        <w:t xml:space="preserve"> – </w:t>
      </w:r>
      <w:r w:rsidR="00A265DF">
        <w:t>Radiance-dependence of IASIB-IASIA Double Difference, calculated over 3 years 2013-03/2016-03</w:t>
      </w:r>
      <w:r w:rsidR="00490011">
        <w:t>. The e</w:t>
      </w:r>
      <w:r w:rsidR="00A265DF">
        <w:t>rror bars represent k=1 uncertainty on mean difference</w:t>
      </w:r>
      <w:r w:rsidR="00490011">
        <w:t xml:space="preserve">. </w:t>
      </w:r>
      <w:r w:rsidR="00A265DF">
        <w:t>Red diamond = standard scene</w:t>
      </w:r>
      <w:r w:rsidRPr="002624B3">
        <w:t>.</w:t>
      </w:r>
      <w:bookmarkEnd w:id="29"/>
    </w:p>
    <w:p w:rsidR="00EA692E" w:rsidRDefault="0042471A" w:rsidP="00EA692E">
      <w:r>
        <w:br w:type="page"/>
      </w:r>
    </w:p>
    <w:p w:rsidR="003E23C5" w:rsidRDefault="003E23C5" w:rsidP="003E23C5">
      <w:pPr>
        <w:pStyle w:val="Heading1"/>
      </w:pPr>
      <w:bookmarkStart w:id="30" w:name="_Toc460253931"/>
      <w:r>
        <w:lastRenderedPageBreak/>
        <w:t>Conclusions</w:t>
      </w:r>
      <w:bookmarkEnd w:id="30"/>
    </w:p>
    <w:p w:rsidR="003E23C5" w:rsidRPr="001D4D94" w:rsidRDefault="003E23C5" w:rsidP="003E23C5">
      <w:pPr>
        <w:spacing w:line="276" w:lineRule="auto"/>
        <w:rPr>
          <w:szCs w:val="24"/>
        </w:rPr>
      </w:pPr>
      <w:r w:rsidRPr="001D4D94">
        <w:rPr>
          <w:szCs w:val="24"/>
        </w:rPr>
        <w:t>These results show no significant differences between the calibration of the mid- and short-wave bands of IASI-A and -B were found over SEVIRI’s relatively broad spectral bands.  However, there are small (&lt;0.05K), but statistically significant differences in the long-wave band, where IASI-B is consistently warmer than IASI-A. These differences are radiance-dependent, but stable over a 3 year period starting in March 2013.</w:t>
      </w:r>
    </w:p>
    <w:p w:rsidR="003E23C5" w:rsidRDefault="003E23C5" w:rsidP="00EA692E"/>
    <w:sectPr w:rsidR="003E23C5" w:rsidSect="0042471A">
      <w:headerReference w:type="first" r:id="rId23"/>
      <w:pgSz w:w="11907" w:h="16840" w:code="9"/>
      <w:pgMar w:top="1954" w:right="1440" w:bottom="1134" w:left="1440" w:header="709"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72" w:rsidRDefault="00663C72">
      <w:r>
        <w:separator/>
      </w:r>
    </w:p>
  </w:endnote>
  <w:endnote w:type="continuationSeparator" w:id="0">
    <w:p w:rsidR="00663C72" w:rsidRDefault="00663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94" w:rsidRDefault="00E85D96">
    <w:pPr>
      <w:pStyle w:val="Footer"/>
      <w:framePr w:wrap="around" w:vAnchor="text" w:hAnchor="margin" w:xAlign="right" w:y="1"/>
      <w:rPr>
        <w:rStyle w:val="PageNumber"/>
      </w:rPr>
    </w:pPr>
    <w:r>
      <w:rPr>
        <w:rStyle w:val="PageNumber"/>
      </w:rPr>
      <w:fldChar w:fldCharType="begin"/>
    </w:r>
    <w:r w:rsidR="001D4D94">
      <w:rPr>
        <w:rStyle w:val="PageNumber"/>
      </w:rPr>
      <w:instrText xml:space="preserve">PAGE  </w:instrText>
    </w:r>
    <w:r>
      <w:rPr>
        <w:rStyle w:val="PageNumber"/>
      </w:rPr>
      <w:fldChar w:fldCharType="separate"/>
    </w:r>
    <w:r w:rsidR="001D4D94">
      <w:rPr>
        <w:rStyle w:val="PageNumber"/>
        <w:noProof/>
      </w:rPr>
      <w:t>9</w:t>
    </w:r>
    <w:r>
      <w:rPr>
        <w:rStyle w:val="PageNumber"/>
      </w:rPr>
      <w:fldChar w:fldCharType="end"/>
    </w:r>
  </w:p>
  <w:p w:rsidR="001D4D94" w:rsidRDefault="001D4D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94" w:rsidRDefault="001D4D94">
    <w:pPr>
      <w:pStyle w:val="Footer"/>
      <w:ind w:right="360"/>
      <w:rPr>
        <w:rStyle w:val="PageNumber"/>
      </w:rPr>
    </w:pPr>
    <w:r>
      <w:rPr>
        <w:rStyle w:val="PageNumber"/>
      </w:rPr>
      <w:t xml:space="preserve">Page </w:t>
    </w:r>
    <w:r w:rsidR="00E85D96">
      <w:rPr>
        <w:rStyle w:val="PageNumber"/>
      </w:rPr>
      <w:fldChar w:fldCharType="begin"/>
    </w:r>
    <w:r>
      <w:rPr>
        <w:rStyle w:val="PageNumber"/>
      </w:rPr>
      <w:instrText xml:space="preserve"> PAGE </w:instrText>
    </w:r>
    <w:r w:rsidR="00E85D96">
      <w:rPr>
        <w:rStyle w:val="PageNumber"/>
      </w:rPr>
      <w:fldChar w:fldCharType="separate"/>
    </w:r>
    <w:r w:rsidR="00167767">
      <w:rPr>
        <w:rStyle w:val="PageNumber"/>
        <w:noProof/>
      </w:rPr>
      <w:t>2</w:t>
    </w:r>
    <w:r w:rsidR="00E85D96">
      <w:rPr>
        <w:rStyle w:val="PageNumber"/>
      </w:rPr>
      <w:fldChar w:fldCharType="end"/>
    </w:r>
    <w:r>
      <w:rPr>
        <w:rStyle w:val="PageNumber"/>
      </w:rPr>
      <w:t xml:space="preserve"> of </w:t>
    </w:r>
    <w:r w:rsidR="00E85D96">
      <w:rPr>
        <w:rStyle w:val="PageNumber"/>
      </w:rPr>
      <w:fldChar w:fldCharType="begin"/>
    </w:r>
    <w:r>
      <w:rPr>
        <w:rStyle w:val="PageNumber"/>
      </w:rPr>
      <w:instrText xml:space="preserve"> NUMPAGES </w:instrText>
    </w:r>
    <w:r w:rsidR="00E85D96">
      <w:rPr>
        <w:rStyle w:val="PageNumber"/>
      </w:rPr>
      <w:fldChar w:fldCharType="separate"/>
    </w:r>
    <w:r w:rsidR="00167767">
      <w:rPr>
        <w:rStyle w:val="PageNumber"/>
        <w:noProof/>
      </w:rPr>
      <w:t>9</w:t>
    </w:r>
    <w:r w:rsidR="00E85D9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94" w:rsidRPr="00565F57" w:rsidRDefault="001D4D94" w:rsidP="002C60C4">
    <w:pPr>
      <w:pStyle w:val="Footer"/>
      <w:rPr>
        <w:rFonts w:cs="Arial"/>
        <w:sz w:val="16"/>
        <w:szCs w:val="16"/>
      </w:rPr>
    </w:pPr>
  </w:p>
  <w:p w:rsidR="001D4D94" w:rsidRPr="00565F57" w:rsidRDefault="001D4D94" w:rsidP="002C60C4">
    <w:pPr>
      <w:pStyle w:val="Footer"/>
      <w:rPr>
        <w:rFonts w:cs="Arial"/>
        <w:sz w:val="16"/>
        <w:szCs w:val="16"/>
      </w:rPr>
    </w:pPr>
    <w:r w:rsidRPr="00565F57">
      <w:rPr>
        <w:rFonts w:cs="Arial"/>
        <w:sz w:val="16"/>
        <w:szCs w:val="16"/>
      </w:rPr>
      <w:t>© EUMETSAT</w:t>
    </w:r>
  </w:p>
  <w:p w:rsidR="001D4D94" w:rsidRPr="00565F57" w:rsidRDefault="001D4D94" w:rsidP="002C60C4">
    <w:pPr>
      <w:pStyle w:val="Footer"/>
      <w:rPr>
        <w:rFonts w:cs="Arial"/>
        <w:sz w:val="16"/>
        <w:szCs w:val="16"/>
      </w:rPr>
    </w:pPr>
    <w:r w:rsidRPr="00565F57">
      <w:rPr>
        <w:rFonts w:cs="Arial"/>
        <w:sz w:val="16"/>
        <w:szCs w:val="16"/>
      </w:rPr>
      <w:t>The copyright of this document is the property of EUMETSAT.</w:t>
    </w:r>
  </w:p>
  <w:p w:rsidR="001D4D94" w:rsidRPr="00565F57" w:rsidRDefault="001D4D94" w:rsidP="002C60C4">
    <w:pPr>
      <w:pStyle w:val="Footer"/>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72" w:rsidRDefault="00663C72">
      <w:r>
        <w:separator/>
      </w:r>
    </w:p>
  </w:footnote>
  <w:footnote w:type="continuationSeparator" w:id="0">
    <w:p w:rsidR="00663C72" w:rsidRDefault="00663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94" w:rsidRPr="00AD7A0C" w:rsidRDefault="00E85D96" w:rsidP="005C419B">
    <w:pPr>
      <w:pStyle w:val="Header"/>
      <w:rPr>
        <w:lang w:val="de-DE"/>
      </w:rPr>
    </w:pPr>
    <w:bookmarkStart w:id="6" w:name="E_DOC_NO02"/>
    <w:r>
      <w:pict>
        <v:shapetype id="_x0000_t202" coordsize="21600,21600" o:spt="202" path="m,l,21600r21600,l21600,xe">
          <v:stroke joinstyle="miter"/>
          <v:path gradientshapeok="t" o:connecttype="rect"/>
        </v:shapetype>
        <v:shape id="_x0000_s2050" type="#_x0000_t202" style="position:absolute;left:0;text-align:left;margin-left:-5.85pt;margin-top:-8.8pt;width:153.85pt;height:31.2pt;z-index:251658240" filled="f" stroked="f">
          <v:textbox style="mso-next-textbox:#_x0000_s2050;mso-fit-shape-to-text:t">
            <w:txbxContent>
              <w:p w:rsidR="001D4D94" w:rsidRDefault="001D4D94" w:rsidP="00ED4293">
                <w:r w:rsidRPr="007B4B96">
                  <w:rPr>
                    <w:noProof/>
                  </w:rPr>
                  <w:drawing>
                    <wp:inline distT="0" distB="0" distL="0" distR="0">
                      <wp:extent cx="1638732" cy="304800"/>
                      <wp:effectExtent l="19050" t="0" r="0" b="0"/>
                      <wp:docPr id="9" name="Picture 3" descr="EUMETSATLogo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TSATLogoBlue.emf"/>
                              <pic:cNvPicPr/>
                            </pic:nvPicPr>
                            <pic:blipFill>
                              <a:blip r:embed="rId1"/>
                              <a:stretch>
                                <a:fillRect/>
                              </a:stretch>
                            </pic:blipFill>
                            <pic:spPr>
                              <a:xfrm>
                                <a:off x="0" y="0"/>
                                <a:ext cx="1681648" cy="312782"/>
                              </a:xfrm>
                              <a:prstGeom prst="rect">
                                <a:avLst/>
                              </a:prstGeom>
                            </pic:spPr>
                          </pic:pic>
                        </a:graphicData>
                      </a:graphic>
                    </wp:inline>
                  </w:drawing>
                </w:r>
              </w:p>
            </w:txbxContent>
          </v:textbox>
        </v:shape>
      </w:pict>
    </w:r>
    <w:r w:rsidR="00824A29">
      <w:rPr>
        <w:lang w:val="de-DE"/>
      </w:rPr>
      <w:t>EUM/RSP/TEN/16/872396</w:t>
    </w:r>
    <w:bookmarkEnd w:id="6"/>
  </w:p>
  <w:p w:rsidR="001D4D94" w:rsidRPr="00AD7A0C" w:rsidRDefault="00824A29" w:rsidP="005C419B">
    <w:pPr>
      <w:pStyle w:val="Header"/>
      <w:ind w:left="3119"/>
      <w:rPr>
        <w:lang w:val="de-DE"/>
      </w:rPr>
    </w:pPr>
    <w:bookmarkStart w:id="7" w:name="ISSUE_AND_DATE01"/>
    <w:r>
      <w:rPr>
        <w:lang w:val="de-DE"/>
      </w:rPr>
      <w:t>v1 Draft, 29 August 2016</w:t>
    </w:r>
    <w:bookmarkEnd w:id="7"/>
  </w:p>
  <w:p w:rsidR="001D4D94" w:rsidRPr="00E672A2" w:rsidRDefault="00824A29" w:rsidP="00402157">
    <w:pPr>
      <w:pStyle w:val="Header20"/>
      <w:ind w:left="2552"/>
      <w:rPr>
        <w:lang w:val="en-GB"/>
      </w:rPr>
    </w:pPr>
    <w:bookmarkStart w:id="8" w:name="DOCNAME02"/>
    <w:r>
      <w:rPr>
        <w:lang w:val="en-GB"/>
      </w:rPr>
      <w:t>Scientific Validation of SEVIRI-IASI Prime GSICS Corrections</w:t>
    </w:r>
    <w:bookmarkEnd w:id="8"/>
  </w:p>
  <w:p w:rsidR="001D4D94" w:rsidRPr="00050235" w:rsidRDefault="001D4D94" w:rsidP="00050235">
    <w:pPr>
      <w:pStyle w:val="Header20"/>
      <w:pBdr>
        <w:bottom w:val="single" w:sz="4" w:space="2" w:color="auto"/>
      </w:pBdr>
      <w:spacing w:before="0"/>
      <w:rPr>
        <w:sz w:val="4"/>
        <w:szCs w:val="4"/>
        <w:lang w:val="en-GB"/>
      </w:rPr>
    </w:pPr>
  </w:p>
  <w:p w:rsidR="001D4D94" w:rsidRPr="00E672A2" w:rsidRDefault="001D4D94" w:rsidP="00ED4293">
    <w:pPr>
      <w:pStyle w:val="Confidentiality"/>
      <w:jc w:val="center"/>
    </w:pPr>
    <w:bookmarkStart w:id="9" w:name="E_CONFIDA02"/>
    <w:bookmarkEnd w:id="9"/>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94" w:rsidRDefault="001D4D94" w:rsidP="007B4B96">
    <w:pPr>
      <w:pStyle w:val="Header"/>
      <w:jc w:val="left"/>
    </w:pPr>
    <w:r w:rsidRPr="007B4B96">
      <w:rPr>
        <w:b/>
      </w:rPr>
      <w:drawing>
        <wp:inline distT="0" distB="0" distL="0" distR="0">
          <wp:extent cx="1924050" cy="357869"/>
          <wp:effectExtent l="19050" t="0" r="0" b="0"/>
          <wp:docPr id="5" name="Picture 3" descr="EUMETSATLogo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TSATLogoBlue.emf"/>
                  <pic:cNvPicPr/>
                </pic:nvPicPr>
                <pic:blipFill>
                  <a:blip r:embed="rId1"/>
                  <a:stretch>
                    <a:fillRect/>
                  </a:stretch>
                </pic:blipFill>
                <pic:spPr>
                  <a:xfrm>
                    <a:off x="0" y="0"/>
                    <a:ext cx="1924050" cy="35786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1D4D94">
      <w:trPr>
        <w:cantSplit/>
      </w:trPr>
      <w:tc>
        <w:tcPr>
          <w:tcW w:w="3081" w:type="dxa"/>
        </w:tcPr>
        <w:p w:rsidR="001D4D94" w:rsidRDefault="001D4D94" w:rsidP="00AC66C0">
          <w:pPr>
            <w:pStyle w:val="Header"/>
            <w:spacing w:before="240" w:after="60"/>
            <w:jc w:val="left"/>
          </w:pPr>
          <w:r>
            <w:rPr>
              <w:rFonts w:ascii="Times New Roman" w:hAnsi="Times New Roman"/>
              <w:b/>
            </w:rPr>
            <w:drawing>
              <wp:inline distT="0" distB="0" distL="0" distR="0">
                <wp:extent cx="1737360" cy="2971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37360" cy="297180"/>
                        </a:xfrm>
                        <a:prstGeom prst="rect">
                          <a:avLst/>
                        </a:prstGeom>
                        <a:noFill/>
                        <a:ln w="9525">
                          <a:noFill/>
                          <a:miter lim="800000"/>
                          <a:headEnd/>
                          <a:tailEnd/>
                        </a:ln>
                      </pic:spPr>
                    </pic:pic>
                  </a:graphicData>
                </a:graphic>
              </wp:inline>
            </w:drawing>
          </w:r>
        </w:p>
      </w:tc>
      <w:tc>
        <w:tcPr>
          <w:tcW w:w="5991" w:type="dxa"/>
        </w:tcPr>
        <w:p w:rsidR="001D4D94" w:rsidRPr="0001011C" w:rsidRDefault="001D4D94" w:rsidP="00AC66C0">
          <w:pPr>
            <w:pStyle w:val="Header"/>
            <w:rPr>
              <w:lang w:val="de-DE"/>
            </w:rPr>
          </w:pPr>
          <w:r w:rsidRPr="0001011C">
            <w:rPr>
              <w:lang w:val="de-DE"/>
            </w:rPr>
            <w:t xml:space="preserve">EUM/GES/SPE/06/2266 </w:t>
          </w:r>
        </w:p>
        <w:p w:rsidR="001D4D94" w:rsidRPr="0001011C" w:rsidRDefault="001D4D94" w:rsidP="00AC66C0">
          <w:pPr>
            <w:pStyle w:val="Header"/>
            <w:rPr>
              <w:lang w:val="de-DE"/>
            </w:rPr>
          </w:pPr>
          <w:r w:rsidRPr="0001011C">
            <w:rPr>
              <w:lang w:val="de-DE"/>
            </w:rPr>
            <w:t>v2 Draft, 9 October 2006</w:t>
          </w:r>
        </w:p>
        <w:p w:rsidR="001D4D94" w:rsidRDefault="001D4D94" w:rsidP="00AC66C0">
          <w:pPr>
            <w:pStyle w:val="Header2"/>
          </w:pPr>
          <w:r>
            <w:t>Proposal 1- Technical Document Template</w:t>
          </w:r>
        </w:p>
      </w:tc>
    </w:tr>
  </w:tbl>
  <w:p w:rsidR="001D4D94" w:rsidRDefault="001D4D94" w:rsidP="00AC66C0">
    <w:pPr>
      <w:pStyle w:val="Confidentiality"/>
      <w:jc w:val="center"/>
    </w:pPr>
  </w:p>
  <w:p w:rsidR="001D4D94" w:rsidRPr="006917EA" w:rsidRDefault="001D4D94" w:rsidP="00AC66C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FC9"/>
    <w:multiLevelType w:val="hybridMultilevel"/>
    <w:tmpl w:val="3ADE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65420"/>
    <w:multiLevelType w:val="multilevel"/>
    <w:tmpl w:val="77962252"/>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01B"/>
    <w:multiLevelType w:val="multilevel"/>
    <w:tmpl w:val="2446E7D4"/>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2C04EDE"/>
    <w:multiLevelType w:val="singleLevel"/>
    <w:tmpl w:val="7676E810"/>
    <w:lvl w:ilvl="0">
      <w:start w:val="1"/>
      <w:numFmt w:val="bullet"/>
      <w:pStyle w:val="Bullet3System"/>
      <w:lvlText w:val="•"/>
      <w:lvlJc w:val="left"/>
      <w:pPr>
        <w:tabs>
          <w:tab w:val="num" w:pos="567"/>
        </w:tabs>
        <w:ind w:left="567" w:hanging="567"/>
      </w:pPr>
      <w:rPr>
        <w:rFonts w:ascii="Times New Roman" w:hAnsi="Times New Roman" w:hint="default"/>
      </w:rPr>
    </w:lvl>
  </w:abstractNum>
  <w:abstractNum w:abstractNumId="5">
    <w:nsid w:val="22FA0BEE"/>
    <w:multiLevelType w:val="hybridMultilevel"/>
    <w:tmpl w:val="C9FC7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F87D6B"/>
    <w:multiLevelType w:val="singleLevel"/>
    <w:tmpl w:val="93CC9710"/>
    <w:lvl w:ilvl="0">
      <w:start w:val="1"/>
      <w:numFmt w:val="bullet"/>
      <w:lvlText w:val=""/>
      <w:lvlJc w:val="left"/>
      <w:pPr>
        <w:tabs>
          <w:tab w:val="num" w:pos="425"/>
        </w:tabs>
        <w:ind w:left="425" w:hanging="425"/>
      </w:pPr>
      <w:rPr>
        <w:rFonts w:ascii="Symbol" w:hAnsi="Symbol" w:hint="default"/>
      </w:rPr>
    </w:lvl>
  </w:abstractNum>
  <w:abstractNum w:abstractNumId="7">
    <w:nsid w:val="41A0549C"/>
    <w:multiLevelType w:val="hybridMultilevel"/>
    <w:tmpl w:val="7C3812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7C82920"/>
    <w:multiLevelType w:val="multilevel"/>
    <w:tmpl w:val="51AEFCA0"/>
    <w:lvl w:ilvl="0">
      <w:start w:val="1"/>
      <w:numFmt w:val="upperLetter"/>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A336C36"/>
    <w:multiLevelType w:val="singleLevel"/>
    <w:tmpl w:val="E30AA5BA"/>
    <w:lvl w:ilvl="0">
      <w:start w:val="1"/>
      <w:numFmt w:val="bullet"/>
      <w:pStyle w:val="Bullet2System"/>
      <w:lvlText w:val="-"/>
      <w:lvlJc w:val="left"/>
      <w:pPr>
        <w:tabs>
          <w:tab w:val="num" w:pos="567"/>
        </w:tabs>
        <w:ind w:left="567" w:hanging="567"/>
      </w:pPr>
      <w:rPr>
        <w:rFonts w:ascii="Times New Roman" w:hAnsi="Times New Roman" w:hint="default"/>
      </w:rPr>
    </w:lvl>
  </w:abstractNum>
  <w:abstractNum w:abstractNumId="10">
    <w:nsid w:val="6A767DB8"/>
    <w:multiLevelType w:val="singleLevel"/>
    <w:tmpl w:val="333AC674"/>
    <w:lvl w:ilvl="0">
      <w:start w:val="1"/>
      <w:numFmt w:val="bullet"/>
      <w:lvlText w:val=""/>
      <w:lvlJc w:val="left"/>
      <w:pPr>
        <w:tabs>
          <w:tab w:val="num" w:pos="425"/>
        </w:tabs>
        <w:ind w:left="425" w:hanging="425"/>
      </w:pPr>
      <w:rPr>
        <w:rFonts w:ascii="Symbol" w:hAnsi="Symbol" w:hint="default"/>
      </w:rPr>
    </w:lvl>
  </w:abstractNum>
  <w:abstractNum w:abstractNumId="11">
    <w:nsid w:val="6D1C20CB"/>
    <w:multiLevelType w:val="singleLevel"/>
    <w:tmpl w:val="61D6BC9A"/>
    <w:lvl w:ilvl="0">
      <w:start w:val="1"/>
      <w:numFmt w:val="bullet"/>
      <w:pStyle w:val="Bullet1System"/>
      <w:lvlText w:val=""/>
      <w:lvlJc w:val="left"/>
      <w:pPr>
        <w:tabs>
          <w:tab w:val="num" w:pos="567"/>
        </w:tabs>
        <w:ind w:left="567" w:hanging="567"/>
      </w:pPr>
      <w:rPr>
        <w:rFonts w:ascii="Symbol" w:hAnsi="Symbol" w:hint="default"/>
      </w:rPr>
    </w:lvl>
  </w:abstractNum>
  <w:abstractNum w:abstractNumId="12">
    <w:nsid w:val="7A2369B4"/>
    <w:multiLevelType w:val="multilevel"/>
    <w:tmpl w:val="F36861A0"/>
    <w:lvl w:ilvl="0">
      <w:start w:val="1"/>
      <w:numFmt w:val="upperLetter"/>
      <w:pStyle w:val="Appendix1"/>
      <w:lvlText w:val="Appendix %1"/>
      <w:lvlJc w:val="left"/>
      <w:pPr>
        <w:tabs>
          <w:tab w:val="num" w:pos="3402"/>
        </w:tabs>
        <w:ind w:left="3402" w:hanging="3402"/>
      </w:pPr>
      <w:rPr>
        <w:rFonts w:hint="default"/>
      </w:rPr>
    </w:lvl>
    <w:lvl w:ilvl="1">
      <w:start w:val="1"/>
      <w:numFmt w:val="decimal"/>
      <w:lvlRestart w:val="0"/>
      <w:pStyle w:val="Appendix2"/>
      <w:lvlText w:val="%1.%2"/>
      <w:lvlJc w:val="left"/>
      <w:pPr>
        <w:tabs>
          <w:tab w:val="num" w:pos="1418"/>
        </w:tabs>
        <w:ind w:left="1418" w:hanging="1418"/>
      </w:pPr>
      <w:rPr>
        <w:rFonts w:hint="default"/>
      </w:rPr>
    </w:lvl>
    <w:lvl w:ilvl="2">
      <w:start w:val="1"/>
      <w:numFmt w:val="decimal"/>
      <w:lvlRestart w:val="0"/>
      <w:pStyle w:val="Appendix3"/>
      <w:lvlText w:val="%1.%2.%3"/>
      <w:lvlJc w:val="left"/>
      <w:pPr>
        <w:tabs>
          <w:tab w:val="num" w:pos="1418"/>
        </w:tabs>
        <w:ind w:left="1418" w:hanging="1418"/>
      </w:pPr>
      <w:rPr>
        <w:rFonts w:hint="default"/>
      </w:rPr>
    </w:lvl>
    <w:lvl w:ilvl="3">
      <w:start w:val="1"/>
      <w:numFmt w:val="decimal"/>
      <w:lvlRestart w:val="0"/>
      <w:pStyle w:val="Appendix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2"/>
  </w:num>
  <w:num w:numId="3">
    <w:abstractNumId w:val="11"/>
  </w:num>
  <w:num w:numId="4">
    <w:abstractNumId w:val="9"/>
  </w:num>
  <w:num w:numId="5">
    <w:abstractNumId w:val="4"/>
  </w:num>
  <w:num w:numId="6">
    <w:abstractNumId w:val="1"/>
  </w:num>
  <w:num w:numId="7">
    <w:abstractNumId w:val="1"/>
  </w:num>
  <w:num w:numId="8">
    <w:abstractNumId w:val="1"/>
  </w:num>
  <w:num w:numId="9">
    <w:abstractNumId w:val="1"/>
  </w:num>
  <w:num w:numId="10">
    <w:abstractNumId w:val="8"/>
  </w:num>
  <w:num w:numId="11">
    <w:abstractNumId w:val="2"/>
  </w:num>
  <w:num w:numId="12">
    <w:abstractNumId w:val="7"/>
  </w:num>
  <w:num w:numId="13">
    <w:abstractNumId w:val="6"/>
  </w:num>
  <w:num w:numId="14">
    <w:abstractNumId w:val="10"/>
  </w:num>
  <w:num w:numId="15">
    <w:abstractNumId w:val="3"/>
  </w:num>
  <w:num w:numId="16">
    <w:abstractNumId w:val="0"/>
  </w:num>
  <w:num w:numId="17">
    <w:abstractNumId w:val="1"/>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567"/>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30F7D"/>
    <w:rsid w:val="00001B17"/>
    <w:rsid w:val="00006042"/>
    <w:rsid w:val="0001011C"/>
    <w:rsid w:val="0001064D"/>
    <w:rsid w:val="000218A7"/>
    <w:rsid w:val="00023695"/>
    <w:rsid w:val="00033E80"/>
    <w:rsid w:val="00034E59"/>
    <w:rsid w:val="00041A57"/>
    <w:rsid w:val="00042015"/>
    <w:rsid w:val="00050235"/>
    <w:rsid w:val="00055B21"/>
    <w:rsid w:val="000619C1"/>
    <w:rsid w:val="00066DA4"/>
    <w:rsid w:val="00082890"/>
    <w:rsid w:val="0009729F"/>
    <w:rsid w:val="000A4D65"/>
    <w:rsid w:val="000A5C44"/>
    <w:rsid w:val="000B08CE"/>
    <w:rsid w:val="000B274A"/>
    <w:rsid w:val="000B383F"/>
    <w:rsid w:val="000B5B3A"/>
    <w:rsid w:val="000B70D6"/>
    <w:rsid w:val="000B7D5C"/>
    <w:rsid w:val="000C7218"/>
    <w:rsid w:val="000D04F9"/>
    <w:rsid w:val="000D1307"/>
    <w:rsid w:val="000D33EC"/>
    <w:rsid w:val="000D3F17"/>
    <w:rsid w:val="000D5356"/>
    <w:rsid w:val="000E7FA3"/>
    <w:rsid w:val="000F0CE6"/>
    <w:rsid w:val="000F44A3"/>
    <w:rsid w:val="00101110"/>
    <w:rsid w:val="0010155A"/>
    <w:rsid w:val="00102527"/>
    <w:rsid w:val="00111B9F"/>
    <w:rsid w:val="00115771"/>
    <w:rsid w:val="00120728"/>
    <w:rsid w:val="0012259E"/>
    <w:rsid w:val="0013060A"/>
    <w:rsid w:val="001317DB"/>
    <w:rsid w:val="00133E94"/>
    <w:rsid w:val="001376E0"/>
    <w:rsid w:val="0014658C"/>
    <w:rsid w:val="0015292E"/>
    <w:rsid w:val="00164DAD"/>
    <w:rsid w:val="00165711"/>
    <w:rsid w:val="00167767"/>
    <w:rsid w:val="001733D8"/>
    <w:rsid w:val="0017460C"/>
    <w:rsid w:val="00175505"/>
    <w:rsid w:val="001A0A67"/>
    <w:rsid w:val="001A20B7"/>
    <w:rsid w:val="001A52A2"/>
    <w:rsid w:val="001A5669"/>
    <w:rsid w:val="001A7BFF"/>
    <w:rsid w:val="001B2944"/>
    <w:rsid w:val="001C5E9E"/>
    <w:rsid w:val="001D4D94"/>
    <w:rsid w:val="001E78CC"/>
    <w:rsid w:val="001F05E5"/>
    <w:rsid w:val="001F3CDD"/>
    <w:rsid w:val="0020225D"/>
    <w:rsid w:val="0020398E"/>
    <w:rsid w:val="00217D93"/>
    <w:rsid w:val="00226C6B"/>
    <w:rsid w:val="00236A3C"/>
    <w:rsid w:val="002426B3"/>
    <w:rsid w:val="00251816"/>
    <w:rsid w:val="0025357C"/>
    <w:rsid w:val="002661DA"/>
    <w:rsid w:val="00266898"/>
    <w:rsid w:val="00273A56"/>
    <w:rsid w:val="0028705D"/>
    <w:rsid w:val="00287CDB"/>
    <w:rsid w:val="00297320"/>
    <w:rsid w:val="002A074D"/>
    <w:rsid w:val="002B029C"/>
    <w:rsid w:val="002B087D"/>
    <w:rsid w:val="002B09FE"/>
    <w:rsid w:val="002B1957"/>
    <w:rsid w:val="002B41E4"/>
    <w:rsid w:val="002C5EAD"/>
    <w:rsid w:val="002C60C4"/>
    <w:rsid w:val="002D09F9"/>
    <w:rsid w:val="002D4590"/>
    <w:rsid w:val="002E0792"/>
    <w:rsid w:val="002F1BDC"/>
    <w:rsid w:val="002F302A"/>
    <w:rsid w:val="002F431D"/>
    <w:rsid w:val="00307E7A"/>
    <w:rsid w:val="00314C1E"/>
    <w:rsid w:val="00322F0D"/>
    <w:rsid w:val="00327C16"/>
    <w:rsid w:val="00342BC9"/>
    <w:rsid w:val="003654A7"/>
    <w:rsid w:val="00386360"/>
    <w:rsid w:val="00390B04"/>
    <w:rsid w:val="003A5890"/>
    <w:rsid w:val="003B0053"/>
    <w:rsid w:val="003B3775"/>
    <w:rsid w:val="003D2E13"/>
    <w:rsid w:val="003D3DD2"/>
    <w:rsid w:val="003E23C5"/>
    <w:rsid w:val="003E6EA7"/>
    <w:rsid w:val="003F309B"/>
    <w:rsid w:val="003F6772"/>
    <w:rsid w:val="00402157"/>
    <w:rsid w:val="00402C48"/>
    <w:rsid w:val="0040752A"/>
    <w:rsid w:val="0042471A"/>
    <w:rsid w:val="00445C68"/>
    <w:rsid w:val="00451E36"/>
    <w:rsid w:val="0045783B"/>
    <w:rsid w:val="00490011"/>
    <w:rsid w:val="00494370"/>
    <w:rsid w:val="00496916"/>
    <w:rsid w:val="004A332B"/>
    <w:rsid w:val="004A4E99"/>
    <w:rsid w:val="004A6FCD"/>
    <w:rsid w:val="004C1084"/>
    <w:rsid w:val="004C1A8F"/>
    <w:rsid w:val="004C5DC7"/>
    <w:rsid w:val="004C6BAA"/>
    <w:rsid w:val="004D2E8E"/>
    <w:rsid w:val="004D3D79"/>
    <w:rsid w:val="004E513E"/>
    <w:rsid w:val="004E573A"/>
    <w:rsid w:val="004F0DF5"/>
    <w:rsid w:val="004F48E4"/>
    <w:rsid w:val="005147B7"/>
    <w:rsid w:val="00517E17"/>
    <w:rsid w:val="00525094"/>
    <w:rsid w:val="00527A41"/>
    <w:rsid w:val="00537969"/>
    <w:rsid w:val="00537D6D"/>
    <w:rsid w:val="00547968"/>
    <w:rsid w:val="00555CB9"/>
    <w:rsid w:val="00557B34"/>
    <w:rsid w:val="00565F57"/>
    <w:rsid w:val="00575618"/>
    <w:rsid w:val="00575BC3"/>
    <w:rsid w:val="00575F3B"/>
    <w:rsid w:val="00584739"/>
    <w:rsid w:val="00585C86"/>
    <w:rsid w:val="005A259A"/>
    <w:rsid w:val="005C419B"/>
    <w:rsid w:val="005C6638"/>
    <w:rsid w:val="005D102D"/>
    <w:rsid w:val="005D5F38"/>
    <w:rsid w:val="005D75C1"/>
    <w:rsid w:val="005E41C3"/>
    <w:rsid w:val="005E5214"/>
    <w:rsid w:val="005F7DCF"/>
    <w:rsid w:val="00601956"/>
    <w:rsid w:val="00606F01"/>
    <w:rsid w:val="006115D4"/>
    <w:rsid w:val="00611B56"/>
    <w:rsid w:val="006141C8"/>
    <w:rsid w:val="00622A04"/>
    <w:rsid w:val="00637BD1"/>
    <w:rsid w:val="00645672"/>
    <w:rsid w:val="00646C90"/>
    <w:rsid w:val="006552C3"/>
    <w:rsid w:val="0065594D"/>
    <w:rsid w:val="00655CE0"/>
    <w:rsid w:val="00660294"/>
    <w:rsid w:val="0066089F"/>
    <w:rsid w:val="00663C72"/>
    <w:rsid w:val="00666094"/>
    <w:rsid w:val="00666CE5"/>
    <w:rsid w:val="006675DA"/>
    <w:rsid w:val="00671382"/>
    <w:rsid w:val="006761A9"/>
    <w:rsid w:val="00691133"/>
    <w:rsid w:val="006917EA"/>
    <w:rsid w:val="006A14D0"/>
    <w:rsid w:val="006A1C54"/>
    <w:rsid w:val="006A6090"/>
    <w:rsid w:val="006B08EA"/>
    <w:rsid w:val="006B09D3"/>
    <w:rsid w:val="006C2C38"/>
    <w:rsid w:val="006C5ED0"/>
    <w:rsid w:val="006E54AE"/>
    <w:rsid w:val="006E5DAB"/>
    <w:rsid w:val="006F2710"/>
    <w:rsid w:val="006F4AB4"/>
    <w:rsid w:val="00700DE9"/>
    <w:rsid w:val="0071719E"/>
    <w:rsid w:val="00722852"/>
    <w:rsid w:val="00730C2A"/>
    <w:rsid w:val="0073413A"/>
    <w:rsid w:val="00737242"/>
    <w:rsid w:val="0074499C"/>
    <w:rsid w:val="007468D0"/>
    <w:rsid w:val="00752FE9"/>
    <w:rsid w:val="0075540B"/>
    <w:rsid w:val="00760881"/>
    <w:rsid w:val="007668A3"/>
    <w:rsid w:val="007730A5"/>
    <w:rsid w:val="00790827"/>
    <w:rsid w:val="00791F91"/>
    <w:rsid w:val="00794BA7"/>
    <w:rsid w:val="007A7870"/>
    <w:rsid w:val="007B4B96"/>
    <w:rsid w:val="007C05F4"/>
    <w:rsid w:val="007D3AD3"/>
    <w:rsid w:val="007E4972"/>
    <w:rsid w:val="007E7A2C"/>
    <w:rsid w:val="007F0CCE"/>
    <w:rsid w:val="00806762"/>
    <w:rsid w:val="00811CD3"/>
    <w:rsid w:val="00813637"/>
    <w:rsid w:val="00824A29"/>
    <w:rsid w:val="00834225"/>
    <w:rsid w:val="008419FB"/>
    <w:rsid w:val="00851FFE"/>
    <w:rsid w:val="008549B3"/>
    <w:rsid w:val="00857B0C"/>
    <w:rsid w:val="00864CB8"/>
    <w:rsid w:val="00867B7D"/>
    <w:rsid w:val="00875490"/>
    <w:rsid w:val="008754F0"/>
    <w:rsid w:val="00885EBF"/>
    <w:rsid w:val="008A13F1"/>
    <w:rsid w:val="008A268F"/>
    <w:rsid w:val="008A6C7E"/>
    <w:rsid w:val="008B56CF"/>
    <w:rsid w:val="008C5824"/>
    <w:rsid w:val="008C63A5"/>
    <w:rsid w:val="008D4196"/>
    <w:rsid w:val="008D6DFC"/>
    <w:rsid w:val="008E07DF"/>
    <w:rsid w:val="008E0865"/>
    <w:rsid w:val="008F0B02"/>
    <w:rsid w:val="008F185A"/>
    <w:rsid w:val="008F50BA"/>
    <w:rsid w:val="008F5172"/>
    <w:rsid w:val="008F54D0"/>
    <w:rsid w:val="00920645"/>
    <w:rsid w:val="0092180A"/>
    <w:rsid w:val="00923643"/>
    <w:rsid w:val="009359D0"/>
    <w:rsid w:val="00936A2B"/>
    <w:rsid w:val="00945CB6"/>
    <w:rsid w:val="00956984"/>
    <w:rsid w:val="0096205A"/>
    <w:rsid w:val="00962E83"/>
    <w:rsid w:val="00967A17"/>
    <w:rsid w:val="0097381C"/>
    <w:rsid w:val="00976986"/>
    <w:rsid w:val="009779A0"/>
    <w:rsid w:val="0098235D"/>
    <w:rsid w:val="009936FB"/>
    <w:rsid w:val="00995CB0"/>
    <w:rsid w:val="00996C3B"/>
    <w:rsid w:val="009A1978"/>
    <w:rsid w:val="009B53E5"/>
    <w:rsid w:val="009D35FD"/>
    <w:rsid w:val="009E5268"/>
    <w:rsid w:val="00A10784"/>
    <w:rsid w:val="00A121CB"/>
    <w:rsid w:val="00A15B5F"/>
    <w:rsid w:val="00A265DF"/>
    <w:rsid w:val="00A27EA0"/>
    <w:rsid w:val="00A3266E"/>
    <w:rsid w:val="00A41722"/>
    <w:rsid w:val="00A443FF"/>
    <w:rsid w:val="00A4474E"/>
    <w:rsid w:val="00A45E8C"/>
    <w:rsid w:val="00A62AB5"/>
    <w:rsid w:val="00A6367F"/>
    <w:rsid w:val="00A658F2"/>
    <w:rsid w:val="00A65CD6"/>
    <w:rsid w:val="00A65D03"/>
    <w:rsid w:val="00A671C6"/>
    <w:rsid w:val="00A84B2A"/>
    <w:rsid w:val="00A87C55"/>
    <w:rsid w:val="00A95F36"/>
    <w:rsid w:val="00A96206"/>
    <w:rsid w:val="00A97DDD"/>
    <w:rsid w:val="00A97DFD"/>
    <w:rsid w:val="00AA3210"/>
    <w:rsid w:val="00AA4853"/>
    <w:rsid w:val="00AB6AE8"/>
    <w:rsid w:val="00AB7C3F"/>
    <w:rsid w:val="00AC56AA"/>
    <w:rsid w:val="00AC66C0"/>
    <w:rsid w:val="00AC68EE"/>
    <w:rsid w:val="00AD7A0C"/>
    <w:rsid w:val="00AE09A0"/>
    <w:rsid w:val="00AE1578"/>
    <w:rsid w:val="00AE4412"/>
    <w:rsid w:val="00AE78BE"/>
    <w:rsid w:val="00AF52B9"/>
    <w:rsid w:val="00AF63CF"/>
    <w:rsid w:val="00B019AD"/>
    <w:rsid w:val="00B02643"/>
    <w:rsid w:val="00B054D9"/>
    <w:rsid w:val="00B07E57"/>
    <w:rsid w:val="00B1056A"/>
    <w:rsid w:val="00B107C0"/>
    <w:rsid w:val="00B16DD2"/>
    <w:rsid w:val="00B25780"/>
    <w:rsid w:val="00B308C8"/>
    <w:rsid w:val="00B3395B"/>
    <w:rsid w:val="00B34C83"/>
    <w:rsid w:val="00B34CE7"/>
    <w:rsid w:val="00B369EE"/>
    <w:rsid w:val="00B4114F"/>
    <w:rsid w:val="00B45707"/>
    <w:rsid w:val="00B607D2"/>
    <w:rsid w:val="00B64B3F"/>
    <w:rsid w:val="00B65F66"/>
    <w:rsid w:val="00B73340"/>
    <w:rsid w:val="00B75549"/>
    <w:rsid w:val="00B84BDF"/>
    <w:rsid w:val="00B86EE0"/>
    <w:rsid w:val="00B87020"/>
    <w:rsid w:val="00B902E4"/>
    <w:rsid w:val="00B916C8"/>
    <w:rsid w:val="00B95F12"/>
    <w:rsid w:val="00B9685C"/>
    <w:rsid w:val="00BA3498"/>
    <w:rsid w:val="00BA7B53"/>
    <w:rsid w:val="00BB4C83"/>
    <w:rsid w:val="00BC7420"/>
    <w:rsid w:val="00BE0EC7"/>
    <w:rsid w:val="00BF5406"/>
    <w:rsid w:val="00C00677"/>
    <w:rsid w:val="00C01432"/>
    <w:rsid w:val="00C015D5"/>
    <w:rsid w:val="00C04A4D"/>
    <w:rsid w:val="00C052B2"/>
    <w:rsid w:val="00C14FF2"/>
    <w:rsid w:val="00C167AF"/>
    <w:rsid w:val="00C20026"/>
    <w:rsid w:val="00C2461B"/>
    <w:rsid w:val="00C24CE3"/>
    <w:rsid w:val="00C31113"/>
    <w:rsid w:val="00C33FFA"/>
    <w:rsid w:val="00C37DD6"/>
    <w:rsid w:val="00C50657"/>
    <w:rsid w:val="00C629BD"/>
    <w:rsid w:val="00C71834"/>
    <w:rsid w:val="00C71DCB"/>
    <w:rsid w:val="00CB2C48"/>
    <w:rsid w:val="00CB63BA"/>
    <w:rsid w:val="00CB7229"/>
    <w:rsid w:val="00CC3F0B"/>
    <w:rsid w:val="00CC45DC"/>
    <w:rsid w:val="00CD2666"/>
    <w:rsid w:val="00CD28CD"/>
    <w:rsid w:val="00CE0245"/>
    <w:rsid w:val="00CE4851"/>
    <w:rsid w:val="00CF25C8"/>
    <w:rsid w:val="00CF2ACF"/>
    <w:rsid w:val="00CF6688"/>
    <w:rsid w:val="00D02D45"/>
    <w:rsid w:val="00D03BA8"/>
    <w:rsid w:val="00D10B7D"/>
    <w:rsid w:val="00D308C4"/>
    <w:rsid w:val="00D31AD4"/>
    <w:rsid w:val="00D35BC7"/>
    <w:rsid w:val="00D41022"/>
    <w:rsid w:val="00D45330"/>
    <w:rsid w:val="00D60415"/>
    <w:rsid w:val="00D631F9"/>
    <w:rsid w:val="00D72593"/>
    <w:rsid w:val="00D7265F"/>
    <w:rsid w:val="00D80BAC"/>
    <w:rsid w:val="00D9563C"/>
    <w:rsid w:val="00DA184E"/>
    <w:rsid w:val="00DA3972"/>
    <w:rsid w:val="00DB2958"/>
    <w:rsid w:val="00DC14AA"/>
    <w:rsid w:val="00DD058B"/>
    <w:rsid w:val="00DD75B4"/>
    <w:rsid w:val="00DF0B40"/>
    <w:rsid w:val="00DF263E"/>
    <w:rsid w:val="00DF2C16"/>
    <w:rsid w:val="00DF5989"/>
    <w:rsid w:val="00DF7765"/>
    <w:rsid w:val="00E04893"/>
    <w:rsid w:val="00E23299"/>
    <w:rsid w:val="00E51C17"/>
    <w:rsid w:val="00E54C35"/>
    <w:rsid w:val="00E54FBC"/>
    <w:rsid w:val="00E672A2"/>
    <w:rsid w:val="00E67B2A"/>
    <w:rsid w:val="00E67B31"/>
    <w:rsid w:val="00E731A2"/>
    <w:rsid w:val="00E76C67"/>
    <w:rsid w:val="00E80B7E"/>
    <w:rsid w:val="00E85D96"/>
    <w:rsid w:val="00E93D6D"/>
    <w:rsid w:val="00E94F59"/>
    <w:rsid w:val="00EA046B"/>
    <w:rsid w:val="00EA5C10"/>
    <w:rsid w:val="00EA692E"/>
    <w:rsid w:val="00EA6DD0"/>
    <w:rsid w:val="00EB45DE"/>
    <w:rsid w:val="00EB7922"/>
    <w:rsid w:val="00EC01E8"/>
    <w:rsid w:val="00EC5278"/>
    <w:rsid w:val="00ED1EA0"/>
    <w:rsid w:val="00ED4293"/>
    <w:rsid w:val="00EE55BC"/>
    <w:rsid w:val="00EF3AFE"/>
    <w:rsid w:val="00EF4949"/>
    <w:rsid w:val="00EF684A"/>
    <w:rsid w:val="00F006E2"/>
    <w:rsid w:val="00F042E9"/>
    <w:rsid w:val="00F152EB"/>
    <w:rsid w:val="00F30F7D"/>
    <w:rsid w:val="00F3133A"/>
    <w:rsid w:val="00F412E2"/>
    <w:rsid w:val="00F4338B"/>
    <w:rsid w:val="00F51123"/>
    <w:rsid w:val="00F8087D"/>
    <w:rsid w:val="00F8214F"/>
    <w:rsid w:val="00F869BB"/>
    <w:rsid w:val="00F956A3"/>
    <w:rsid w:val="00F97019"/>
    <w:rsid w:val="00FB222C"/>
    <w:rsid w:val="00FB2A8B"/>
    <w:rsid w:val="00FB56C8"/>
    <w:rsid w:val="00FB643B"/>
    <w:rsid w:val="00FE404B"/>
    <w:rsid w:val="00FE41EE"/>
    <w:rsid w:val="00FF1E1A"/>
    <w:rsid w:val="00FF5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Hyperlink" w:uiPriority="99"/>
    <w:lsdException w:name="Normal (Web)" w:uiPriority="99"/>
    <w:lsdException w:name="HTML Typewriter"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3DD2"/>
    <w:pPr>
      <w:jc w:val="both"/>
    </w:pPr>
    <w:rPr>
      <w:sz w:val="24"/>
    </w:rPr>
  </w:style>
  <w:style w:type="paragraph" w:styleId="Heading1">
    <w:name w:val="heading 1"/>
    <w:basedOn w:val="Normal"/>
    <w:next w:val="Normal"/>
    <w:autoRedefine/>
    <w:qFormat/>
    <w:rsid w:val="0042471A"/>
    <w:pPr>
      <w:keepNext/>
      <w:pageBreakBefore/>
      <w:numPr>
        <w:numId w:val="1"/>
      </w:numPr>
      <w:tabs>
        <w:tab w:val="clear" w:pos="851"/>
        <w:tab w:val="num" w:pos="567"/>
      </w:tabs>
      <w:ind w:left="567" w:hanging="567"/>
      <w:outlineLvl w:val="0"/>
    </w:pPr>
    <w:rPr>
      <w:b/>
      <w:caps/>
    </w:rPr>
  </w:style>
  <w:style w:type="paragraph" w:styleId="Heading2">
    <w:name w:val="heading 2"/>
    <w:basedOn w:val="Normal"/>
    <w:next w:val="Normal"/>
    <w:link w:val="Heading2Char"/>
    <w:autoRedefine/>
    <w:qFormat/>
    <w:rsid w:val="008D4196"/>
    <w:pPr>
      <w:keepNext/>
      <w:numPr>
        <w:ilvl w:val="1"/>
        <w:numId w:val="7"/>
      </w:numPr>
      <w:spacing w:before="360" w:after="120"/>
      <w:outlineLvl w:val="1"/>
    </w:pPr>
    <w:rPr>
      <w:b/>
    </w:rPr>
  </w:style>
  <w:style w:type="paragraph" w:styleId="Heading3">
    <w:name w:val="heading 3"/>
    <w:basedOn w:val="Normal"/>
    <w:next w:val="Normal"/>
    <w:link w:val="Heading3Char"/>
    <w:autoRedefine/>
    <w:qFormat/>
    <w:rsid w:val="00A671C6"/>
    <w:pPr>
      <w:keepNext/>
      <w:numPr>
        <w:ilvl w:val="2"/>
        <w:numId w:val="8"/>
      </w:numPr>
      <w:spacing w:before="360" w:after="120"/>
      <w:outlineLvl w:val="2"/>
    </w:pPr>
    <w:rPr>
      <w:b/>
    </w:rPr>
  </w:style>
  <w:style w:type="paragraph" w:styleId="Heading4">
    <w:name w:val="heading 4"/>
    <w:basedOn w:val="Normal"/>
    <w:next w:val="Normal"/>
    <w:autoRedefine/>
    <w:qFormat/>
    <w:rsid w:val="00A671C6"/>
    <w:pPr>
      <w:keepNext/>
      <w:numPr>
        <w:ilvl w:val="3"/>
        <w:numId w:val="9"/>
      </w:numPr>
      <w:tabs>
        <w:tab w:val="clear" w:pos="1080"/>
        <w:tab w:val="num" w:pos="851"/>
      </w:tabs>
      <w:spacing w:before="360" w:after="120"/>
      <w:outlineLvl w:val="3"/>
    </w:pPr>
    <w:rPr>
      <w:b/>
    </w:rPr>
  </w:style>
  <w:style w:type="paragraph" w:styleId="Heading5">
    <w:name w:val="heading 5"/>
    <w:basedOn w:val="Normal"/>
    <w:next w:val="Normal"/>
    <w:autoRedefine/>
    <w:qFormat/>
    <w:rsid w:val="00A671C6"/>
    <w:pPr>
      <w:keepNext/>
      <w:numPr>
        <w:ilvl w:val="4"/>
        <w:numId w:val="1"/>
      </w:numPr>
      <w:tabs>
        <w:tab w:val="clear" w:pos="1008"/>
        <w:tab w:val="left" w:pos="1021"/>
      </w:tabs>
      <w:spacing w:before="360" w:after="120"/>
      <w:ind w:left="1009" w:hanging="1009"/>
      <w:outlineLvl w:val="4"/>
    </w:pPr>
    <w:rPr>
      <w:b/>
    </w:rPr>
  </w:style>
  <w:style w:type="paragraph" w:styleId="Heading6">
    <w:name w:val="heading 6"/>
    <w:basedOn w:val="Normal"/>
    <w:next w:val="Normal"/>
    <w:autoRedefine/>
    <w:qFormat/>
    <w:rsid w:val="00A671C6"/>
    <w:pPr>
      <w:numPr>
        <w:ilvl w:val="5"/>
        <w:numId w:val="1"/>
      </w:numPr>
      <w:spacing w:before="360" w:after="120"/>
      <w:ind w:left="1151" w:hanging="1151"/>
      <w:outlineLvl w:val="5"/>
    </w:pPr>
    <w:rPr>
      <w:b/>
    </w:rPr>
  </w:style>
  <w:style w:type="paragraph" w:styleId="Heading7">
    <w:name w:val="heading 7"/>
    <w:basedOn w:val="Normal"/>
    <w:next w:val="Normal"/>
    <w:autoRedefine/>
    <w:qFormat/>
    <w:rsid w:val="00A671C6"/>
    <w:pPr>
      <w:numPr>
        <w:ilvl w:val="6"/>
        <w:numId w:val="1"/>
      </w:numPr>
      <w:spacing w:before="360" w:after="120"/>
      <w:ind w:left="1298" w:hanging="1298"/>
      <w:outlineLvl w:val="6"/>
    </w:pPr>
    <w:rPr>
      <w:b/>
    </w:rPr>
  </w:style>
  <w:style w:type="paragraph" w:styleId="Heading8">
    <w:name w:val="heading 8"/>
    <w:basedOn w:val="Normal"/>
    <w:next w:val="Normal"/>
    <w:autoRedefine/>
    <w:qFormat/>
    <w:rsid w:val="008A13F1"/>
    <w:pPr>
      <w:numPr>
        <w:ilvl w:val="7"/>
        <w:numId w:val="1"/>
      </w:numPr>
      <w:spacing w:before="360" w:after="120"/>
      <w:outlineLvl w:val="7"/>
    </w:pPr>
    <w:rPr>
      <w:b/>
    </w:rPr>
  </w:style>
  <w:style w:type="paragraph" w:styleId="Heading9">
    <w:name w:val="heading 9"/>
    <w:basedOn w:val="Normal"/>
    <w:next w:val="Normal"/>
    <w:autoRedefine/>
    <w:qFormat/>
    <w:rsid w:val="008A13F1"/>
    <w:pPr>
      <w:numPr>
        <w:ilvl w:val="8"/>
        <w:numId w:val="1"/>
      </w:numPr>
      <w:tabs>
        <w:tab w:val="clear" w:pos="1584"/>
      </w:tabs>
      <w:spacing w:before="360" w:after="120"/>
      <w:ind w:left="1582" w:hanging="158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3DD2"/>
    <w:rPr>
      <w:b/>
    </w:rPr>
  </w:style>
  <w:style w:type="paragraph" w:customStyle="1" w:styleId="Doctableheader">
    <w:name w:val="Doctableheader"/>
    <w:basedOn w:val="Normal"/>
    <w:rsid w:val="003D3DD2"/>
    <w:pPr>
      <w:spacing w:before="120" w:after="120"/>
      <w:jc w:val="center"/>
    </w:pPr>
    <w:rPr>
      <w:b/>
      <w:sz w:val="20"/>
    </w:rPr>
  </w:style>
  <w:style w:type="paragraph" w:styleId="Header">
    <w:name w:val="header"/>
    <w:basedOn w:val="Normal"/>
    <w:rsid w:val="005C419B"/>
    <w:pPr>
      <w:jc w:val="right"/>
    </w:pPr>
    <w:rPr>
      <w:rFonts w:ascii="Arial" w:hAnsi="Arial"/>
      <w:noProof/>
      <w:sz w:val="16"/>
    </w:rPr>
  </w:style>
  <w:style w:type="paragraph" w:styleId="Footer">
    <w:name w:val="footer"/>
    <w:basedOn w:val="Normal"/>
    <w:rsid w:val="003D3DD2"/>
    <w:pPr>
      <w:tabs>
        <w:tab w:val="center" w:pos="4153"/>
        <w:tab w:val="right" w:pos="8647"/>
      </w:tabs>
      <w:jc w:val="center"/>
    </w:pPr>
    <w:rPr>
      <w:rFonts w:ascii="Arial" w:hAnsi="Arial"/>
      <w:sz w:val="20"/>
    </w:rPr>
  </w:style>
  <w:style w:type="paragraph" w:styleId="TOC2">
    <w:name w:val="toc 2"/>
    <w:basedOn w:val="Normal"/>
    <w:next w:val="Normal"/>
    <w:uiPriority w:val="39"/>
    <w:rsid w:val="006761A9"/>
    <w:pPr>
      <w:tabs>
        <w:tab w:val="left" w:pos="992"/>
        <w:tab w:val="right" w:leader="dot" w:pos="9072"/>
      </w:tabs>
      <w:ind w:left="992" w:hanging="567"/>
    </w:pPr>
    <w:rPr>
      <w:rFonts w:ascii="Arial" w:hAnsi="Arial"/>
      <w:noProof/>
      <w:sz w:val="20"/>
    </w:rPr>
  </w:style>
  <w:style w:type="paragraph" w:customStyle="1" w:styleId="DocTitle">
    <w:name w:val="Doc Title"/>
    <w:rsid w:val="003D3DD2"/>
    <w:pPr>
      <w:spacing w:before="240"/>
      <w:jc w:val="center"/>
    </w:pPr>
    <w:rPr>
      <w:rFonts w:ascii="Arial" w:hAnsi="Arial"/>
      <w:b/>
      <w:i/>
      <w:sz w:val="36"/>
    </w:rPr>
  </w:style>
  <w:style w:type="paragraph" w:styleId="TOC1">
    <w:name w:val="toc 1"/>
    <w:basedOn w:val="Normal"/>
    <w:next w:val="Normal"/>
    <w:autoRedefine/>
    <w:uiPriority w:val="39"/>
    <w:rsid w:val="006761A9"/>
    <w:pPr>
      <w:tabs>
        <w:tab w:val="left" w:pos="426"/>
        <w:tab w:val="right" w:leader="dot" w:pos="9072"/>
      </w:tabs>
      <w:spacing w:before="240"/>
      <w:ind w:left="425" w:hanging="425"/>
    </w:pPr>
    <w:rPr>
      <w:rFonts w:ascii="Arial" w:hAnsi="Arial"/>
      <w:b/>
      <w:caps/>
      <w:noProof/>
      <w:sz w:val="20"/>
    </w:rPr>
  </w:style>
  <w:style w:type="paragraph" w:styleId="TOC3">
    <w:name w:val="toc 3"/>
    <w:basedOn w:val="Normal"/>
    <w:next w:val="Normal"/>
    <w:autoRedefine/>
    <w:uiPriority w:val="39"/>
    <w:rsid w:val="006761A9"/>
    <w:pPr>
      <w:tabs>
        <w:tab w:val="left" w:pos="1418"/>
        <w:tab w:val="right" w:leader="dot" w:pos="9072"/>
      </w:tabs>
      <w:ind w:left="1332" w:hanging="737"/>
    </w:pPr>
    <w:rPr>
      <w:rFonts w:ascii="Arial" w:hAnsi="Arial"/>
      <w:noProof/>
      <w:sz w:val="20"/>
    </w:rPr>
  </w:style>
  <w:style w:type="paragraph" w:styleId="TOC4">
    <w:name w:val="toc 4"/>
    <w:basedOn w:val="Normal"/>
    <w:next w:val="Normal"/>
    <w:rsid w:val="00496916"/>
    <w:pPr>
      <w:tabs>
        <w:tab w:val="left" w:pos="1644"/>
        <w:tab w:val="right" w:leader="dot" w:pos="9072"/>
      </w:tabs>
      <w:ind w:left="1661" w:hanging="879"/>
    </w:pPr>
    <w:rPr>
      <w:rFonts w:ascii="Arial" w:hAnsi="Arial"/>
      <w:noProof/>
      <w:sz w:val="20"/>
    </w:rPr>
  </w:style>
  <w:style w:type="paragraph" w:styleId="TOC6">
    <w:name w:val="toc 6"/>
    <w:basedOn w:val="Normal"/>
    <w:next w:val="Normal"/>
    <w:autoRedefine/>
    <w:rsid w:val="00A84B2A"/>
    <w:pPr>
      <w:tabs>
        <w:tab w:val="left" w:pos="2552"/>
        <w:tab w:val="left" w:pos="3686"/>
        <w:tab w:val="right" w:leader="dot" w:pos="9072"/>
      </w:tabs>
      <w:ind w:left="1361"/>
    </w:pPr>
    <w:rPr>
      <w:rFonts w:ascii="Arial" w:hAnsi="Arial"/>
      <w:sz w:val="20"/>
    </w:rPr>
  </w:style>
  <w:style w:type="paragraph" w:styleId="TOC7">
    <w:name w:val="toc 7"/>
    <w:basedOn w:val="Normal"/>
    <w:next w:val="Normal"/>
    <w:autoRedefine/>
    <w:rsid w:val="00A84B2A"/>
    <w:pPr>
      <w:tabs>
        <w:tab w:val="left" w:pos="2977"/>
        <w:tab w:val="left" w:pos="4678"/>
        <w:tab w:val="right" w:leader="dot" w:pos="9072"/>
      </w:tabs>
      <w:ind w:left="1588"/>
    </w:pPr>
    <w:rPr>
      <w:rFonts w:ascii="Arial" w:hAnsi="Arial"/>
      <w:sz w:val="20"/>
    </w:rPr>
  </w:style>
  <w:style w:type="paragraph" w:styleId="TOC8">
    <w:name w:val="toc 8"/>
    <w:basedOn w:val="Normal"/>
    <w:next w:val="Normal"/>
    <w:autoRedefine/>
    <w:rsid w:val="00A84B2A"/>
    <w:pPr>
      <w:tabs>
        <w:tab w:val="left" w:pos="2410"/>
        <w:tab w:val="left" w:pos="3261"/>
        <w:tab w:val="right" w:leader="dot" w:pos="9072"/>
      </w:tabs>
      <w:ind w:left="1758"/>
    </w:pPr>
    <w:rPr>
      <w:rFonts w:ascii="Arial" w:hAnsi="Arial"/>
      <w:sz w:val="20"/>
    </w:rPr>
  </w:style>
  <w:style w:type="paragraph" w:styleId="TOC9">
    <w:name w:val="toc 9"/>
    <w:basedOn w:val="Normal"/>
    <w:next w:val="Normal"/>
    <w:autoRedefine/>
    <w:rsid w:val="00A84B2A"/>
    <w:pPr>
      <w:tabs>
        <w:tab w:val="left" w:pos="567"/>
        <w:tab w:val="left" w:pos="3594"/>
        <w:tab w:val="right" w:leader="dot" w:pos="9072"/>
      </w:tabs>
      <w:ind w:left="1928"/>
      <w:textboxTightWrap w:val="allLines"/>
    </w:pPr>
    <w:rPr>
      <w:rFonts w:ascii="Arial" w:hAnsi="Arial"/>
      <w:sz w:val="20"/>
    </w:rPr>
  </w:style>
  <w:style w:type="character" w:styleId="PageNumber">
    <w:name w:val="page number"/>
    <w:basedOn w:val="DefaultParagraphFont"/>
    <w:rsid w:val="003D3DD2"/>
    <w:rPr>
      <w:sz w:val="16"/>
    </w:rPr>
  </w:style>
  <w:style w:type="paragraph" w:customStyle="1" w:styleId="Heading0">
    <w:name w:val="Heading 0"/>
    <w:basedOn w:val="DocTitle"/>
    <w:next w:val="Normal"/>
    <w:rsid w:val="00226C6B"/>
    <w:pPr>
      <w:pageBreakBefore/>
      <w:spacing w:after="240"/>
      <w:jc w:val="left"/>
    </w:pPr>
    <w:rPr>
      <w:sz w:val="28"/>
    </w:rPr>
  </w:style>
  <w:style w:type="paragraph" w:customStyle="1" w:styleId="Bullet1System">
    <w:name w:val="Bullet 1 System"/>
    <w:basedOn w:val="Normal"/>
    <w:rsid w:val="003D3DD2"/>
    <w:pPr>
      <w:numPr>
        <w:numId w:val="3"/>
      </w:numPr>
      <w:tabs>
        <w:tab w:val="clear" w:pos="567"/>
      </w:tabs>
    </w:pPr>
  </w:style>
  <w:style w:type="paragraph" w:customStyle="1" w:styleId="Bullet2System">
    <w:name w:val="Bullet 2 System"/>
    <w:basedOn w:val="Normal"/>
    <w:next w:val="Normal"/>
    <w:rsid w:val="003D3DD2"/>
    <w:pPr>
      <w:numPr>
        <w:numId w:val="4"/>
      </w:numPr>
      <w:tabs>
        <w:tab w:val="clear" w:pos="567"/>
      </w:tabs>
      <w:ind w:left="1134"/>
    </w:pPr>
  </w:style>
  <w:style w:type="paragraph" w:customStyle="1" w:styleId="Bullet1text">
    <w:name w:val="Bullet 1 text"/>
    <w:basedOn w:val="Normal"/>
    <w:rsid w:val="003D3DD2"/>
    <w:pPr>
      <w:ind w:left="567"/>
    </w:pPr>
  </w:style>
  <w:style w:type="paragraph" w:customStyle="1" w:styleId="Bullet3System">
    <w:name w:val="Bullet 3 System"/>
    <w:basedOn w:val="Normal"/>
    <w:rsid w:val="003D3DD2"/>
    <w:pPr>
      <w:numPr>
        <w:numId w:val="5"/>
      </w:numPr>
      <w:tabs>
        <w:tab w:val="clear" w:pos="567"/>
        <w:tab w:val="num" w:pos="-459"/>
      </w:tabs>
      <w:ind w:left="1701"/>
    </w:pPr>
  </w:style>
  <w:style w:type="paragraph" w:styleId="TableofFigures">
    <w:name w:val="table of figures"/>
    <w:basedOn w:val="Normal"/>
    <w:next w:val="Normal"/>
    <w:uiPriority w:val="99"/>
    <w:rsid w:val="003D3DD2"/>
    <w:pPr>
      <w:tabs>
        <w:tab w:val="right" w:leader="dot" w:pos="9072"/>
      </w:tabs>
      <w:ind w:left="480" w:hanging="480"/>
    </w:pPr>
    <w:rPr>
      <w:rFonts w:ascii="Arial" w:hAnsi="Arial"/>
      <w:noProof/>
      <w:sz w:val="20"/>
    </w:rPr>
  </w:style>
  <w:style w:type="paragraph" w:customStyle="1" w:styleId="Doctabletext">
    <w:name w:val="Doctabletext"/>
    <w:basedOn w:val="Normal"/>
    <w:rsid w:val="003D3DD2"/>
    <w:pPr>
      <w:spacing w:before="120" w:after="120"/>
    </w:pPr>
    <w:rPr>
      <w:sz w:val="20"/>
    </w:rPr>
  </w:style>
  <w:style w:type="paragraph" w:customStyle="1" w:styleId="TableHeader">
    <w:name w:val="Table Header"/>
    <w:basedOn w:val="Normal"/>
    <w:qFormat/>
    <w:rsid w:val="003D3DD2"/>
    <w:pPr>
      <w:spacing w:before="120" w:after="120"/>
      <w:jc w:val="center"/>
    </w:pPr>
    <w:rPr>
      <w:rFonts w:ascii="Arial" w:hAnsi="Arial"/>
      <w:b/>
      <w:i/>
      <w:sz w:val="20"/>
    </w:rPr>
  </w:style>
  <w:style w:type="paragraph" w:customStyle="1" w:styleId="TableText">
    <w:name w:val="Table Text"/>
    <w:basedOn w:val="Normal"/>
    <w:qFormat/>
    <w:rsid w:val="003D3DD2"/>
    <w:pPr>
      <w:spacing w:before="120" w:after="120"/>
    </w:pPr>
    <w:rPr>
      <w:rFonts w:ascii="Arial" w:hAnsi="Arial"/>
      <w:sz w:val="20"/>
    </w:rPr>
  </w:style>
  <w:style w:type="paragraph" w:customStyle="1" w:styleId="Appendix1">
    <w:name w:val="Appendix 1"/>
    <w:basedOn w:val="Heading1"/>
    <w:next w:val="Normal"/>
    <w:qFormat/>
    <w:rsid w:val="002B029C"/>
    <w:pPr>
      <w:widowControl w:val="0"/>
      <w:numPr>
        <w:numId w:val="2"/>
      </w:numPr>
      <w:tabs>
        <w:tab w:val="clear" w:pos="3402"/>
        <w:tab w:val="left" w:pos="2268"/>
        <w:tab w:val="right" w:pos="8789"/>
      </w:tabs>
      <w:ind w:left="2268" w:hanging="2268"/>
      <w:outlineLvl w:val="9"/>
    </w:pPr>
  </w:style>
  <w:style w:type="paragraph" w:customStyle="1" w:styleId="Appendix2">
    <w:name w:val="Appendix 2"/>
    <w:basedOn w:val="Heading2"/>
    <w:next w:val="Normal"/>
    <w:qFormat/>
    <w:rsid w:val="0071719E"/>
    <w:pPr>
      <w:widowControl w:val="0"/>
      <w:numPr>
        <w:numId w:val="2"/>
      </w:numPr>
      <w:tabs>
        <w:tab w:val="clear" w:pos="1418"/>
        <w:tab w:val="left" w:pos="1134"/>
        <w:tab w:val="right" w:pos="8789"/>
      </w:tabs>
      <w:ind w:left="1134" w:hanging="1134"/>
      <w:outlineLvl w:val="9"/>
    </w:pPr>
  </w:style>
  <w:style w:type="paragraph" w:customStyle="1" w:styleId="Appendix3">
    <w:name w:val="Appendix 3"/>
    <w:basedOn w:val="Heading3"/>
    <w:next w:val="Normal"/>
    <w:qFormat/>
    <w:rsid w:val="0071719E"/>
    <w:pPr>
      <w:widowControl w:val="0"/>
      <w:numPr>
        <w:numId w:val="2"/>
      </w:numPr>
      <w:tabs>
        <w:tab w:val="clear" w:pos="1418"/>
        <w:tab w:val="left" w:pos="1134"/>
        <w:tab w:val="right" w:pos="8789"/>
      </w:tabs>
      <w:ind w:left="1134" w:hanging="1134"/>
      <w:outlineLvl w:val="9"/>
    </w:pPr>
  </w:style>
  <w:style w:type="paragraph" w:customStyle="1" w:styleId="Appendix4">
    <w:name w:val="Appendix 4"/>
    <w:basedOn w:val="Heading4"/>
    <w:next w:val="Normal"/>
    <w:qFormat/>
    <w:rsid w:val="000E7FA3"/>
    <w:pPr>
      <w:numPr>
        <w:numId w:val="2"/>
      </w:numPr>
      <w:tabs>
        <w:tab w:val="right" w:pos="8789"/>
      </w:tabs>
      <w:outlineLvl w:val="9"/>
    </w:pPr>
  </w:style>
  <w:style w:type="paragraph" w:styleId="TOC5">
    <w:name w:val="toc 5"/>
    <w:basedOn w:val="Normal"/>
    <w:next w:val="Normal"/>
    <w:autoRedefine/>
    <w:rsid w:val="00496916"/>
    <w:pPr>
      <w:tabs>
        <w:tab w:val="left" w:pos="1985"/>
        <w:tab w:val="right" w:leader="dot" w:pos="9072"/>
      </w:tabs>
      <w:ind w:left="1996" w:hanging="1049"/>
    </w:pPr>
    <w:rPr>
      <w:rFonts w:ascii="Arial" w:hAnsi="Arial"/>
      <w:sz w:val="20"/>
    </w:rPr>
  </w:style>
  <w:style w:type="paragraph" w:styleId="Caption">
    <w:name w:val="caption"/>
    <w:basedOn w:val="Normal"/>
    <w:next w:val="Normal"/>
    <w:qFormat/>
    <w:rsid w:val="000E7FA3"/>
    <w:pPr>
      <w:spacing w:before="240"/>
      <w:jc w:val="center"/>
    </w:pPr>
    <w:rPr>
      <w:b/>
      <w:i/>
      <w:sz w:val="20"/>
    </w:rPr>
  </w:style>
  <w:style w:type="paragraph" w:customStyle="1" w:styleId="Confidentiality">
    <w:name w:val="Confidentiality"/>
    <w:basedOn w:val="Normal"/>
    <w:rsid w:val="003D3DD2"/>
    <w:pPr>
      <w:tabs>
        <w:tab w:val="center" w:pos="4153"/>
        <w:tab w:val="right" w:pos="8306"/>
      </w:tabs>
      <w:spacing w:before="60"/>
      <w:jc w:val="right"/>
    </w:pPr>
    <w:rPr>
      <w:rFonts w:ascii="Arial" w:hAnsi="Arial"/>
      <w:b/>
      <w:i/>
      <w:noProof/>
      <w:sz w:val="20"/>
    </w:rPr>
  </w:style>
  <w:style w:type="paragraph" w:customStyle="1" w:styleId="Header2">
    <w:name w:val="Header2"/>
    <w:basedOn w:val="Header"/>
    <w:rsid w:val="003D3DD2"/>
    <w:pPr>
      <w:spacing w:before="120"/>
    </w:pPr>
    <w:rPr>
      <w:b/>
      <w:i/>
      <w:sz w:val="20"/>
    </w:rPr>
  </w:style>
  <w:style w:type="paragraph" w:styleId="DocumentMap">
    <w:name w:val="Document Map"/>
    <w:basedOn w:val="Normal"/>
    <w:semiHidden/>
    <w:rsid w:val="003D3DD2"/>
    <w:pPr>
      <w:shd w:val="clear" w:color="auto" w:fill="000080"/>
    </w:pPr>
    <w:rPr>
      <w:rFonts w:ascii="Tahoma" w:hAnsi="Tahoma"/>
    </w:rPr>
  </w:style>
  <w:style w:type="paragraph" w:customStyle="1" w:styleId="Article">
    <w:name w:val="Article"/>
    <w:basedOn w:val="Normal"/>
    <w:next w:val="ArtTitle"/>
    <w:rsid w:val="003D3DD2"/>
    <w:pPr>
      <w:keepNext/>
      <w:numPr>
        <w:numId w:val="11"/>
      </w:numPr>
      <w:tabs>
        <w:tab w:val="num" w:pos="425"/>
      </w:tabs>
      <w:suppressAutoHyphens/>
      <w:spacing w:before="480"/>
      <w:ind w:left="425" w:hanging="425"/>
      <w:jc w:val="center"/>
    </w:pPr>
    <w:rPr>
      <w:b/>
      <w:lang w:val="en-US"/>
    </w:rPr>
  </w:style>
  <w:style w:type="paragraph" w:customStyle="1" w:styleId="ArtTitle">
    <w:name w:val="ArtTitle"/>
    <w:basedOn w:val="Normal"/>
    <w:next w:val="Normal"/>
    <w:rsid w:val="003D3DD2"/>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paragraph" w:styleId="BalloonText">
    <w:name w:val="Balloon Text"/>
    <w:basedOn w:val="Normal"/>
    <w:link w:val="BalloonTextChar"/>
    <w:rsid w:val="004A332B"/>
    <w:rPr>
      <w:rFonts w:ascii="Tahoma" w:hAnsi="Tahoma" w:cs="Tahoma"/>
      <w:sz w:val="16"/>
      <w:szCs w:val="16"/>
    </w:rPr>
  </w:style>
  <w:style w:type="character" w:customStyle="1" w:styleId="BalloonTextChar">
    <w:name w:val="Balloon Text Char"/>
    <w:basedOn w:val="DefaultParagraphFont"/>
    <w:link w:val="BalloonText"/>
    <w:rsid w:val="004A332B"/>
    <w:rPr>
      <w:rFonts w:ascii="Tahoma" w:hAnsi="Tahoma" w:cs="Tahoma"/>
      <w:sz w:val="16"/>
      <w:szCs w:val="16"/>
    </w:rPr>
  </w:style>
  <w:style w:type="character" w:styleId="Hyperlink">
    <w:name w:val="Hyperlink"/>
    <w:basedOn w:val="DefaultParagraphFont"/>
    <w:uiPriority w:val="99"/>
    <w:unhideWhenUsed/>
    <w:rsid w:val="006675DA"/>
    <w:rPr>
      <w:color w:val="0000FF" w:themeColor="hyperlink"/>
      <w:u w:val="single"/>
    </w:rPr>
  </w:style>
  <w:style w:type="paragraph" w:styleId="ListParagraph">
    <w:name w:val="List Paragraph"/>
    <w:basedOn w:val="Normal"/>
    <w:uiPriority w:val="34"/>
    <w:rsid w:val="00001B17"/>
    <w:pPr>
      <w:ind w:left="720"/>
      <w:contextualSpacing/>
    </w:pPr>
  </w:style>
  <w:style w:type="paragraph" w:customStyle="1" w:styleId="Bullet1">
    <w:name w:val="Bullet 1"/>
    <w:basedOn w:val="Bullet1System"/>
    <w:rsid w:val="00B3395B"/>
    <w:rPr>
      <w:i/>
      <w:iCs/>
    </w:rPr>
  </w:style>
  <w:style w:type="paragraph" w:customStyle="1" w:styleId="Bullet2">
    <w:name w:val="Bullet 2"/>
    <w:basedOn w:val="Bullet2System"/>
    <w:rsid w:val="00B3395B"/>
    <w:rPr>
      <w:i/>
      <w:iCs/>
    </w:rPr>
  </w:style>
  <w:style w:type="paragraph" w:customStyle="1" w:styleId="Bullet3">
    <w:name w:val="Bullet 3"/>
    <w:basedOn w:val="Bullet3System"/>
    <w:rsid w:val="00B3395B"/>
    <w:rPr>
      <w:i/>
      <w:iCs/>
    </w:rPr>
  </w:style>
  <w:style w:type="paragraph" w:styleId="TOCHeading">
    <w:name w:val="TOC Heading"/>
    <w:basedOn w:val="Heading1"/>
    <w:next w:val="Normal"/>
    <w:uiPriority w:val="39"/>
    <w:semiHidden/>
    <w:unhideWhenUsed/>
    <w:qFormat/>
    <w:rsid w:val="002B41E4"/>
    <w:pPr>
      <w:keepLines/>
      <w:pageBreakBefore w:val="0"/>
      <w:spacing w:before="48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en-US"/>
    </w:rPr>
  </w:style>
  <w:style w:type="paragraph" w:customStyle="1" w:styleId="Doctitle0">
    <w:name w:val="Doctitle"/>
    <w:rsid w:val="0042471A"/>
    <w:pPr>
      <w:spacing w:before="240"/>
      <w:jc w:val="center"/>
    </w:pPr>
    <w:rPr>
      <w:rFonts w:ascii="Arial" w:hAnsi="Arial"/>
      <w:b/>
      <w:i/>
      <w:sz w:val="36"/>
    </w:rPr>
  </w:style>
  <w:style w:type="paragraph" w:customStyle="1" w:styleId="InfoTableHeader">
    <w:name w:val="InfoTableHeader"/>
    <w:basedOn w:val="Normal"/>
    <w:rsid w:val="0042471A"/>
    <w:pPr>
      <w:spacing w:before="120" w:after="120"/>
      <w:jc w:val="center"/>
    </w:pPr>
    <w:rPr>
      <w:rFonts w:ascii="Arial" w:hAnsi="Arial"/>
      <w:b/>
      <w:i/>
      <w:sz w:val="20"/>
    </w:rPr>
  </w:style>
  <w:style w:type="paragraph" w:customStyle="1" w:styleId="InfoTableText">
    <w:name w:val="InfoTableText"/>
    <w:basedOn w:val="Normal"/>
    <w:rsid w:val="0042471A"/>
    <w:pPr>
      <w:spacing w:before="120" w:after="120"/>
    </w:pPr>
    <w:rPr>
      <w:rFonts w:ascii="Arial" w:hAnsi="Arial"/>
      <w:sz w:val="20"/>
    </w:rPr>
  </w:style>
  <w:style w:type="paragraph" w:customStyle="1" w:styleId="Appendix10">
    <w:name w:val="Appendix1"/>
    <w:basedOn w:val="Heading1"/>
    <w:next w:val="Normal"/>
    <w:rsid w:val="0042471A"/>
    <w:pPr>
      <w:pageBreakBefore w:val="0"/>
      <w:widowControl w:val="0"/>
      <w:numPr>
        <w:numId w:val="0"/>
      </w:numPr>
      <w:tabs>
        <w:tab w:val="num" w:pos="2268"/>
        <w:tab w:val="right" w:pos="8789"/>
      </w:tabs>
      <w:ind w:left="2268" w:hanging="2268"/>
      <w:outlineLvl w:val="9"/>
    </w:pPr>
    <w:rPr>
      <w:lang w:val="en-US"/>
    </w:rPr>
  </w:style>
  <w:style w:type="paragraph" w:customStyle="1" w:styleId="Appendix20">
    <w:name w:val="Appendix2"/>
    <w:basedOn w:val="Heading2"/>
    <w:next w:val="Normal"/>
    <w:rsid w:val="0042471A"/>
    <w:pPr>
      <w:widowControl w:val="0"/>
      <w:numPr>
        <w:ilvl w:val="0"/>
        <w:numId w:val="0"/>
      </w:numPr>
      <w:tabs>
        <w:tab w:val="left" w:pos="851"/>
        <w:tab w:val="left" w:pos="992"/>
        <w:tab w:val="num" w:pos="1418"/>
        <w:tab w:val="right" w:pos="8789"/>
      </w:tabs>
      <w:spacing w:before="480" w:after="0"/>
      <w:ind w:left="1418" w:hanging="1418"/>
      <w:outlineLvl w:val="9"/>
    </w:pPr>
    <w:rPr>
      <w:lang w:val="en-US"/>
    </w:rPr>
  </w:style>
  <w:style w:type="paragraph" w:customStyle="1" w:styleId="Appendix30">
    <w:name w:val="Appendix3"/>
    <w:basedOn w:val="Heading3"/>
    <w:next w:val="Normal"/>
    <w:rsid w:val="0042471A"/>
    <w:pPr>
      <w:widowControl w:val="0"/>
      <w:numPr>
        <w:ilvl w:val="0"/>
        <w:numId w:val="0"/>
      </w:numPr>
      <w:tabs>
        <w:tab w:val="left" w:pos="851"/>
        <w:tab w:val="left" w:pos="993"/>
        <w:tab w:val="num" w:pos="1418"/>
        <w:tab w:val="right" w:pos="8789"/>
      </w:tabs>
      <w:spacing w:after="0"/>
      <w:ind w:left="1418" w:hanging="1418"/>
      <w:outlineLvl w:val="9"/>
    </w:pPr>
    <w:rPr>
      <w:lang w:val="en-US"/>
    </w:rPr>
  </w:style>
  <w:style w:type="paragraph" w:customStyle="1" w:styleId="Appendix40">
    <w:name w:val="Appendix4"/>
    <w:basedOn w:val="Heading4"/>
    <w:next w:val="Normal"/>
    <w:rsid w:val="0042471A"/>
    <w:pPr>
      <w:widowControl w:val="0"/>
      <w:numPr>
        <w:ilvl w:val="0"/>
        <w:numId w:val="0"/>
      </w:numPr>
      <w:tabs>
        <w:tab w:val="num" w:pos="1134"/>
        <w:tab w:val="right" w:pos="8789"/>
      </w:tabs>
      <w:spacing w:before="300" w:after="0"/>
      <w:ind w:left="1134" w:hanging="1134"/>
      <w:outlineLvl w:val="9"/>
    </w:pPr>
    <w:rPr>
      <w:lang w:val="en-US"/>
    </w:rPr>
  </w:style>
  <w:style w:type="character" w:customStyle="1" w:styleId="Heading3Char">
    <w:name w:val="Heading 3 Char"/>
    <w:basedOn w:val="DefaultParagraphFont"/>
    <w:link w:val="Heading3"/>
    <w:rsid w:val="0042471A"/>
    <w:rPr>
      <w:b/>
      <w:sz w:val="24"/>
    </w:rPr>
  </w:style>
  <w:style w:type="paragraph" w:customStyle="1" w:styleId="EndNoteBibliographyTitle">
    <w:name w:val="EndNote Bibliography Title"/>
    <w:basedOn w:val="Normal"/>
    <w:link w:val="EndNoteBibliographyTitleChar"/>
    <w:rsid w:val="0042471A"/>
    <w:pPr>
      <w:jc w:val="center"/>
    </w:pPr>
    <w:rPr>
      <w:noProof/>
    </w:rPr>
  </w:style>
  <w:style w:type="character" w:customStyle="1" w:styleId="EndNoteBibliographyTitleChar">
    <w:name w:val="EndNote Bibliography Title Char"/>
    <w:basedOn w:val="DefaultParagraphFont"/>
    <w:link w:val="EndNoteBibliographyTitle"/>
    <w:rsid w:val="0042471A"/>
    <w:rPr>
      <w:noProof/>
      <w:sz w:val="24"/>
    </w:rPr>
  </w:style>
  <w:style w:type="paragraph" w:customStyle="1" w:styleId="EndNoteBibliography">
    <w:name w:val="EndNote Bibliography"/>
    <w:basedOn w:val="Normal"/>
    <w:link w:val="EndNoteBibliographyChar"/>
    <w:rsid w:val="0042471A"/>
    <w:rPr>
      <w:noProof/>
    </w:rPr>
  </w:style>
  <w:style w:type="character" w:customStyle="1" w:styleId="EndNoteBibliographyChar">
    <w:name w:val="EndNote Bibliography Char"/>
    <w:basedOn w:val="DefaultParagraphFont"/>
    <w:link w:val="EndNoteBibliography"/>
    <w:rsid w:val="0042471A"/>
    <w:rPr>
      <w:noProof/>
      <w:sz w:val="24"/>
    </w:rPr>
  </w:style>
  <w:style w:type="character" w:styleId="CommentReference">
    <w:name w:val="annotation reference"/>
    <w:basedOn w:val="DefaultParagraphFont"/>
    <w:rsid w:val="0042471A"/>
    <w:rPr>
      <w:sz w:val="16"/>
      <w:szCs w:val="16"/>
    </w:rPr>
  </w:style>
  <w:style w:type="paragraph" w:styleId="CommentText">
    <w:name w:val="annotation text"/>
    <w:basedOn w:val="Normal"/>
    <w:link w:val="CommentTextChar"/>
    <w:rsid w:val="0042471A"/>
    <w:pPr>
      <w:jc w:val="left"/>
    </w:pPr>
    <w:rPr>
      <w:sz w:val="20"/>
      <w:lang w:val="en-US" w:eastAsia="en-US"/>
    </w:rPr>
  </w:style>
  <w:style w:type="character" w:customStyle="1" w:styleId="CommentTextChar">
    <w:name w:val="Comment Text Char"/>
    <w:basedOn w:val="DefaultParagraphFont"/>
    <w:link w:val="CommentText"/>
    <w:rsid w:val="0042471A"/>
    <w:rPr>
      <w:lang w:val="en-US" w:eastAsia="en-US"/>
    </w:rPr>
  </w:style>
  <w:style w:type="character" w:customStyle="1" w:styleId="Heading2Char">
    <w:name w:val="Heading 2 Char"/>
    <w:basedOn w:val="DefaultParagraphFont"/>
    <w:link w:val="Heading2"/>
    <w:rsid w:val="0042471A"/>
    <w:rPr>
      <w:b/>
      <w:sz w:val="24"/>
    </w:rPr>
  </w:style>
  <w:style w:type="paragraph" w:customStyle="1" w:styleId="Code">
    <w:name w:val="Code"/>
    <w:basedOn w:val="Normal"/>
    <w:link w:val="CodeChar"/>
    <w:qFormat/>
    <w:rsid w:val="0042471A"/>
    <w:pPr>
      <w:jc w:val="left"/>
    </w:pPr>
    <w:rPr>
      <w:rFonts w:ascii="Courier New" w:hAnsi="Courier New" w:cs="Courier New"/>
      <w:noProof/>
      <w:sz w:val="16"/>
    </w:rPr>
  </w:style>
  <w:style w:type="character" w:customStyle="1" w:styleId="CodeChar">
    <w:name w:val="Code Char"/>
    <w:basedOn w:val="DefaultParagraphFont"/>
    <w:link w:val="Code"/>
    <w:rsid w:val="0042471A"/>
    <w:rPr>
      <w:rFonts w:ascii="Courier New" w:hAnsi="Courier New" w:cs="Courier New"/>
      <w:noProof/>
      <w:sz w:val="16"/>
    </w:rPr>
  </w:style>
  <w:style w:type="character" w:styleId="FollowedHyperlink">
    <w:name w:val="FollowedHyperlink"/>
    <w:basedOn w:val="DefaultParagraphFont"/>
    <w:rsid w:val="0042471A"/>
    <w:rPr>
      <w:color w:val="800080" w:themeColor="followedHyperlink"/>
      <w:u w:val="single"/>
    </w:rPr>
  </w:style>
  <w:style w:type="paragraph" w:styleId="CommentSubject">
    <w:name w:val="annotation subject"/>
    <w:basedOn w:val="CommentText"/>
    <w:next w:val="CommentText"/>
    <w:link w:val="CommentSubjectChar"/>
    <w:rsid w:val="00885EBF"/>
    <w:pPr>
      <w:jc w:val="both"/>
    </w:pPr>
    <w:rPr>
      <w:b/>
      <w:bCs/>
      <w:lang w:val="en-GB" w:eastAsia="en-GB"/>
    </w:rPr>
  </w:style>
  <w:style w:type="character" w:customStyle="1" w:styleId="CommentSubjectChar">
    <w:name w:val="Comment Subject Char"/>
    <w:basedOn w:val="CommentTextChar"/>
    <w:link w:val="CommentSubject"/>
    <w:rsid w:val="00885EBF"/>
    <w:rPr>
      <w:b/>
      <w:bCs/>
    </w:rPr>
  </w:style>
  <w:style w:type="paragraph" w:styleId="NormalWeb">
    <w:name w:val="Normal (Web)"/>
    <w:basedOn w:val="Normal"/>
    <w:uiPriority w:val="99"/>
    <w:unhideWhenUsed/>
    <w:rsid w:val="00AD7A0C"/>
    <w:pPr>
      <w:spacing w:before="100" w:beforeAutospacing="1" w:after="100" w:afterAutospacing="1"/>
      <w:jc w:val="left"/>
    </w:pPr>
    <w:rPr>
      <w:szCs w:val="24"/>
    </w:rPr>
  </w:style>
  <w:style w:type="table" w:styleId="TableGrid">
    <w:name w:val="Table Grid"/>
    <w:basedOn w:val="TableNormal"/>
    <w:rsid w:val="00A15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unhideWhenUsed/>
    <w:rsid w:val="00164DAD"/>
    <w:rPr>
      <w:rFonts w:ascii="Courier New" w:eastAsia="Times New Roman" w:hAnsi="Courier New" w:cs="Courier New"/>
      <w:sz w:val="20"/>
      <w:szCs w:val="20"/>
    </w:rPr>
  </w:style>
  <w:style w:type="character" w:customStyle="1" w:styleId="apple-converted-space">
    <w:name w:val="apple-converted-space"/>
    <w:basedOn w:val="DefaultParagraphFont"/>
    <w:rsid w:val="00164DAD"/>
  </w:style>
</w:styles>
</file>

<file path=word/webSettings.xml><?xml version="1.0" encoding="utf-8"?>
<w:webSettings xmlns:r="http://schemas.openxmlformats.org/officeDocument/2006/relationships" xmlns:w="http://schemas.openxmlformats.org/wordprocessingml/2006/main">
  <w:divs>
    <w:div w:id="102655704">
      <w:bodyDiv w:val="1"/>
      <w:marLeft w:val="0"/>
      <w:marRight w:val="0"/>
      <w:marTop w:val="0"/>
      <w:marBottom w:val="0"/>
      <w:divBdr>
        <w:top w:val="none" w:sz="0" w:space="0" w:color="auto"/>
        <w:left w:val="none" w:sz="0" w:space="0" w:color="auto"/>
        <w:bottom w:val="none" w:sz="0" w:space="0" w:color="auto"/>
        <w:right w:val="none" w:sz="0" w:space="0" w:color="auto"/>
      </w:divBdr>
    </w:div>
    <w:div w:id="114519636">
      <w:bodyDiv w:val="1"/>
      <w:marLeft w:val="0"/>
      <w:marRight w:val="0"/>
      <w:marTop w:val="0"/>
      <w:marBottom w:val="0"/>
      <w:divBdr>
        <w:top w:val="none" w:sz="0" w:space="0" w:color="auto"/>
        <w:left w:val="none" w:sz="0" w:space="0" w:color="auto"/>
        <w:bottom w:val="none" w:sz="0" w:space="0" w:color="auto"/>
        <w:right w:val="none" w:sz="0" w:space="0" w:color="auto"/>
      </w:divBdr>
    </w:div>
    <w:div w:id="1176072699">
      <w:bodyDiv w:val="1"/>
      <w:marLeft w:val="0"/>
      <w:marRight w:val="0"/>
      <w:marTop w:val="0"/>
      <w:marBottom w:val="0"/>
      <w:divBdr>
        <w:top w:val="none" w:sz="0" w:space="0" w:color="auto"/>
        <w:left w:val="none" w:sz="0" w:space="0" w:color="auto"/>
        <w:bottom w:val="none" w:sz="0" w:space="0" w:color="auto"/>
        <w:right w:val="none" w:sz="0" w:space="0" w:color="auto"/>
      </w:divBdr>
    </w:div>
    <w:div w:id="1515462586">
      <w:bodyDiv w:val="1"/>
      <w:marLeft w:val="0"/>
      <w:marRight w:val="0"/>
      <w:marTop w:val="0"/>
      <w:marBottom w:val="0"/>
      <w:divBdr>
        <w:top w:val="none" w:sz="0" w:space="0" w:color="auto"/>
        <w:left w:val="none" w:sz="0" w:space="0" w:color="auto"/>
        <w:bottom w:val="none" w:sz="0" w:space="0" w:color="auto"/>
        <w:right w:val="none" w:sz="0" w:space="0" w:color="auto"/>
      </w:divBdr>
    </w:div>
    <w:div w:id="1636638834">
      <w:bodyDiv w:val="1"/>
      <w:marLeft w:val="0"/>
      <w:marRight w:val="0"/>
      <w:marTop w:val="0"/>
      <w:marBottom w:val="0"/>
      <w:divBdr>
        <w:top w:val="none" w:sz="0" w:space="0" w:color="auto"/>
        <w:left w:val="none" w:sz="0" w:space="0" w:color="auto"/>
        <w:bottom w:val="none" w:sz="0" w:space="0" w:color="auto"/>
        <w:right w:val="none" w:sz="0" w:space="0" w:color="auto"/>
      </w:divBdr>
    </w:div>
    <w:div w:id="1904828005">
      <w:bodyDiv w:val="1"/>
      <w:marLeft w:val="0"/>
      <w:marRight w:val="0"/>
      <w:marTop w:val="0"/>
      <w:marBottom w:val="0"/>
      <w:divBdr>
        <w:top w:val="none" w:sz="0" w:space="0" w:color="auto"/>
        <w:left w:val="none" w:sz="0" w:space="0" w:color="auto"/>
        <w:bottom w:val="none" w:sz="0" w:space="0" w:color="auto"/>
        <w:right w:val="none" w:sz="0" w:space="0" w:color="auto"/>
      </w:divBdr>
    </w:div>
    <w:div w:id="20868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mtool.eumetsat.int/cs/idcplg?IdcService=EUM_GET_FILE&amp;dRevLabel=1D&amp;dDocName=777892" TargetMode="External"/><Relationship Id="rId18" Type="http://schemas.openxmlformats.org/officeDocument/2006/relationships/hyperlink" Target="http://gsics.eumetsat.int/thredds/rac-msg1-seviri-prime_products.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sics.eumetsat.int" TargetMode="External"/><Relationship Id="rId20" Type="http://schemas.openxmlformats.org/officeDocument/2006/relationships/hyperlink" Target="http://gsics.eumetsat.int/thredds/rac-msg3-seviri-prime_produc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sics.atmos.umd.edu/pub/Development/AtbdCentral/ATBD_for_EUMETSAT_Demonstration_Prime_GSICS_Corrections_for_Meteosat-SEVIRI.docx"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gsics.eumetsat.int/thredds/rac-msg2-seviri-prime_product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mtool.eumetsat.int/cs/idcplg?IdcService=EUM_GET_FILE&amp;dRevLabel=1&amp;dDocName=850626"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62CBFE-C61F-4086-8154-6EF5CCCE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Christopher Hanson</dc:creator>
  <cp:lastModifiedBy>Tim Hewison</cp:lastModifiedBy>
  <cp:revision>2</cp:revision>
  <cp:lastPrinted>2015-03-27T09:46:00Z</cp:lastPrinted>
  <dcterms:created xsi:type="dcterms:W3CDTF">2016-08-29T15:36:00Z</dcterms:created>
  <dcterms:modified xsi:type="dcterms:W3CDTF">2016-08-29T15:36:00Z</dcterms:modified>
</cp:coreProperties>
</file>